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44"/>
          <w:szCs w:val="44"/>
        </w:rPr>
      </w:pPr>
    </w:p>
    <w:p>
      <w:pPr>
        <w:jc w:val="center"/>
        <w:rPr>
          <w:sz w:val="44"/>
          <w:szCs w:val="44"/>
        </w:rPr>
      </w:pPr>
    </w:p>
    <w:p>
      <w:pPr>
        <w:jc w:val="center"/>
        <w:rPr>
          <w:sz w:val="44"/>
          <w:szCs w:val="44"/>
        </w:rPr>
      </w:pPr>
    </w:p>
    <w:p>
      <w:pPr>
        <w:rPr>
          <w:sz w:val="44"/>
          <w:szCs w:val="44"/>
        </w:rPr>
      </w:pPr>
    </w:p>
    <w:p>
      <w:pPr>
        <w:jc w:val="center"/>
        <w:rPr>
          <w:sz w:val="72"/>
          <w:szCs w:val="72"/>
        </w:rPr>
      </w:pPr>
      <w:r>
        <w:rPr>
          <w:rFonts w:hint="eastAsia"/>
          <w:sz w:val="72"/>
          <w:szCs w:val="72"/>
        </w:rPr>
        <w:t>企业</w:t>
      </w:r>
      <w:r>
        <w:rPr>
          <w:sz w:val="72"/>
          <w:szCs w:val="72"/>
        </w:rPr>
        <w:t>质量诚信报告</w:t>
      </w:r>
    </w:p>
    <w:p>
      <w:pPr>
        <w:ind w:left="1" w:hanging="1"/>
        <w:jc w:val="center"/>
        <w:rPr>
          <w:rFonts w:hint="eastAsia" w:eastAsiaTheme="minorEastAsia"/>
          <w:sz w:val="52"/>
          <w:szCs w:val="52"/>
          <w:lang w:eastAsia="zh-CN"/>
        </w:rPr>
      </w:pPr>
    </w:p>
    <w:p>
      <w:pPr>
        <w:keepNext w:val="0"/>
        <w:keepLines w:val="0"/>
        <w:widowControl/>
        <w:suppressLineNumbers w:val="0"/>
        <w:jc w:val="center"/>
        <w:rPr>
          <w:rFonts w:hint="eastAsia" w:eastAsiaTheme="minorEastAsia"/>
          <w:lang w:eastAsia="zh-CN"/>
        </w:rPr>
      </w:pPr>
      <w:r>
        <w:rPr>
          <w:rFonts w:hint="eastAsia" w:eastAsiaTheme="minorEastAsia"/>
          <w:lang w:eastAsia="zh-CN"/>
        </w:rPr>
        <w:drawing>
          <wp:inline distT="0" distB="0" distL="114300" distR="114300">
            <wp:extent cx="6210935" cy="3305175"/>
            <wp:effectExtent l="0" t="0" r="12065" b="9525"/>
            <wp:docPr id="2" name="图片 2" descr="门口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门口图片"/>
                    <pic:cNvPicPr>
                      <a:picLocks noChangeAspect="1"/>
                    </pic:cNvPicPr>
                  </pic:nvPicPr>
                  <pic:blipFill>
                    <a:blip r:embed="rId8"/>
                    <a:stretch>
                      <a:fillRect/>
                    </a:stretch>
                  </pic:blipFill>
                  <pic:spPr>
                    <a:xfrm>
                      <a:off x="0" y="0"/>
                      <a:ext cx="6210935" cy="3305175"/>
                    </a:xfrm>
                    <a:prstGeom prst="rect">
                      <a:avLst/>
                    </a:prstGeom>
                  </pic:spPr>
                </pic:pic>
              </a:graphicData>
            </a:graphic>
          </wp:inline>
        </w:drawing>
      </w:r>
    </w:p>
    <w:p>
      <w:pPr>
        <w:ind w:left="1" w:hanging="1"/>
        <w:jc w:val="center"/>
        <w:rPr>
          <w:rFonts w:hint="eastAsia" w:eastAsiaTheme="minorEastAsia"/>
          <w:sz w:val="52"/>
          <w:szCs w:val="52"/>
          <w:lang w:eastAsia="zh-CN"/>
        </w:rPr>
      </w:pPr>
    </w:p>
    <w:p>
      <w:pPr>
        <w:ind w:left="1" w:hanging="1"/>
        <w:jc w:val="center"/>
        <w:rPr>
          <w:sz w:val="52"/>
          <w:szCs w:val="52"/>
        </w:rPr>
      </w:pPr>
    </w:p>
    <w:p>
      <w:pPr>
        <w:ind w:firstLine="2640" w:firstLineChars="600"/>
        <w:jc w:val="both"/>
        <w:rPr>
          <w:rFonts w:hint="eastAsia"/>
          <w:sz w:val="44"/>
          <w:szCs w:val="44"/>
          <w:lang w:eastAsia="zh-CN"/>
        </w:rPr>
      </w:pPr>
      <w:r>
        <w:rPr>
          <w:rFonts w:hint="eastAsia"/>
          <w:sz w:val="44"/>
          <w:szCs w:val="44"/>
          <w:lang w:val="en-US" w:eastAsia="zh-CN"/>
        </w:rPr>
        <w:t>浙江德联家居股份有限公司</w:t>
      </w:r>
    </w:p>
    <w:p>
      <w:pPr>
        <w:ind w:firstLine="1560" w:firstLineChars="300"/>
        <w:jc w:val="both"/>
        <w:rPr>
          <w:sz w:val="52"/>
          <w:szCs w:val="52"/>
        </w:rPr>
      </w:pPr>
      <w:r>
        <w:rPr>
          <w:rFonts w:hint="eastAsia"/>
          <w:sz w:val="52"/>
          <w:szCs w:val="52"/>
        </w:rPr>
        <w:t>报告</w:t>
      </w:r>
      <w:r>
        <w:rPr>
          <w:sz w:val="52"/>
          <w:szCs w:val="52"/>
        </w:rPr>
        <w:t>日期：</w:t>
      </w:r>
      <w:r>
        <w:rPr>
          <w:rFonts w:hint="eastAsia"/>
          <w:sz w:val="52"/>
          <w:szCs w:val="52"/>
        </w:rPr>
        <w:t>20</w:t>
      </w:r>
      <w:r>
        <w:rPr>
          <w:rFonts w:hint="eastAsia"/>
          <w:sz w:val="52"/>
          <w:szCs w:val="52"/>
          <w:lang w:val="en-US" w:eastAsia="zh-CN"/>
        </w:rPr>
        <w:t>21</w:t>
      </w:r>
      <w:r>
        <w:rPr>
          <w:rFonts w:hint="eastAsia"/>
          <w:sz w:val="52"/>
          <w:szCs w:val="52"/>
        </w:rPr>
        <w:t>年</w:t>
      </w:r>
      <w:r>
        <w:rPr>
          <w:rFonts w:hint="eastAsia"/>
          <w:sz w:val="52"/>
          <w:szCs w:val="52"/>
          <w:lang w:val="en-US" w:eastAsia="zh-CN"/>
        </w:rPr>
        <w:t>8</w:t>
      </w:r>
      <w:r>
        <w:rPr>
          <w:rFonts w:hint="eastAsia"/>
          <w:sz w:val="52"/>
          <w:szCs w:val="52"/>
        </w:rPr>
        <w:t>月</w:t>
      </w:r>
      <w:r>
        <w:rPr>
          <w:rFonts w:hint="eastAsia"/>
          <w:sz w:val="52"/>
          <w:szCs w:val="52"/>
          <w:lang w:val="en-US" w:eastAsia="zh-CN"/>
        </w:rPr>
        <w:t>1</w:t>
      </w:r>
      <w:r>
        <w:rPr>
          <w:rFonts w:hint="eastAsia"/>
          <w:sz w:val="52"/>
          <w:szCs w:val="52"/>
        </w:rPr>
        <w:t>日</w:t>
      </w:r>
    </w:p>
    <w:p>
      <w:pPr>
        <w:jc w:val="center"/>
        <w:rPr>
          <w:sz w:val="52"/>
          <w:szCs w:val="52"/>
        </w:rPr>
        <w:sectPr>
          <w:headerReference r:id="rId3" w:type="default"/>
          <w:footerReference r:id="rId4" w:type="default"/>
          <w:pgSz w:w="11906" w:h="16838"/>
          <w:pgMar w:top="1440" w:right="849" w:bottom="1440" w:left="1276" w:header="851" w:footer="992" w:gutter="0"/>
          <w:pgNumType w:start="1"/>
          <w:cols w:space="425" w:num="1"/>
          <w:docGrid w:type="lines" w:linePitch="312" w:charSpace="0"/>
        </w:sectPr>
      </w:pPr>
    </w:p>
    <w:p>
      <w:pPr>
        <w:jc w:val="center"/>
        <w:rPr>
          <w:sz w:val="52"/>
          <w:szCs w:val="52"/>
        </w:rPr>
      </w:pPr>
    </w:p>
    <w:sdt>
      <w:sdtPr>
        <w:rPr>
          <w:rFonts w:asciiTheme="minorHAnsi" w:hAnsiTheme="minorHAnsi" w:eastAsiaTheme="minorEastAsia" w:cstheme="minorBidi"/>
          <w:color w:val="auto"/>
          <w:kern w:val="2"/>
          <w:sz w:val="21"/>
          <w:szCs w:val="22"/>
          <w:lang w:val="zh-CN"/>
        </w:rPr>
        <w:id w:val="-779648539"/>
        <w:docPartObj>
          <w:docPartGallery w:val="Table of Contents"/>
          <w:docPartUnique/>
        </w:docPartObj>
      </w:sdtPr>
      <w:sdtEndPr>
        <w:rPr>
          <w:rFonts w:asciiTheme="minorHAnsi" w:hAnsiTheme="minorHAnsi" w:eastAsiaTheme="minorEastAsia" w:cstheme="minorBidi"/>
          <w:b/>
          <w:bCs/>
          <w:color w:val="auto"/>
          <w:kern w:val="2"/>
          <w:sz w:val="21"/>
          <w:szCs w:val="22"/>
          <w:lang w:val="zh-CN"/>
        </w:rPr>
      </w:sdtEndPr>
      <w:sdtContent>
        <w:p>
          <w:pPr>
            <w:pStyle w:val="22"/>
            <w:jc w:val="center"/>
          </w:pPr>
          <w:r>
            <w:rPr>
              <w:lang w:val="zh-CN"/>
            </w:rPr>
            <w:t>目录</w:t>
          </w:r>
        </w:p>
        <w:p>
          <w:pPr>
            <w:pStyle w:val="9"/>
            <w:tabs>
              <w:tab w:val="right" w:leader="dot" w:pos="9771"/>
            </w:tabs>
          </w:pPr>
          <w:r>
            <w:fldChar w:fldCharType="begin"/>
          </w:r>
          <w:r>
            <w:instrText xml:space="preserve"> TOC \o "1-3" \h \z \u </w:instrText>
          </w:r>
          <w:r>
            <w:fldChar w:fldCharType="separate"/>
          </w:r>
          <w:r>
            <w:fldChar w:fldCharType="begin"/>
          </w:r>
          <w:r>
            <w:instrText xml:space="preserve"> HYPERLINK \l "_Toc496693320" </w:instrText>
          </w:r>
          <w:r>
            <w:fldChar w:fldCharType="separate"/>
          </w:r>
          <w:r>
            <w:rPr>
              <w:rStyle w:val="15"/>
              <w:rFonts w:hint="eastAsia"/>
            </w:rPr>
            <w:t>第一部分：前言</w:t>
          </w:r>
          <w:r>
            <w:tab/>
          </w:r>
          <w:r>
            <w:fldChar w:fldCharType="begin"/>
          </w:r>
          <w:r>
            <w:instrText xml:space="preserve"> PAGEREF _Toc496693320 \h </w:instrText>
          </w:r>
          <w:r>
            <w:fldChar w:fldCharType="separate"/>
          </w:r>
          <w:r>
            <w:t>2</w:t>
          </w:r>
          <w:r>
            <w:fldChar w:fldCharType="end"/>
          </w:r>
          <w:r>
            <w:fldChar w:fldCharType="end"/>
          </w:r>
        </w:p>
        <w:p>
          <w:pPr>
            <w:pStyle w:val="9"/>
            <w:tabs>
              <w:tab w:val="right" w:leader="dot" w:pos="9771"/>
            </w:tabs>
          </w:pPr>
          <w:r>
            <w:fldChar w:fldCharType="begin"/>
          </w:r>
          <w:r>
            <w:instrText xml:space="preserve"> HYPERLINK \l "_Toc496693321" </w:instrText>
          </w:r>
          <w:r>
            <w:fldChar w:fldCharType="separate"/>
          </w:r>
          <w:r>
            <w:rPr>
              <w:rStyle w:val="15"/>
              <w:rFonts w:hint="eastAsia"/>
            </w:rPr>
            <w:t>编制说明</w:t>
          </w:r>
          <w:r>
            <w:tab/>
          </w:r>
          <w:r>
            <w:fldChar w:fldCharType="begin"/>
          </w:r>
          <w:r>
            <w:instrText xml:space="preserve"> PAGEREF _Toc496693321 \h </w:instrText>
          </w:r>
          <w:r>
            <w:fldChar w:fldCharType="separate"/>
          </w:r>
          <w:r>
            <w:t>2</w:t>
          </w:r>
          <w:r>
            <w:fldChar w:fldCharType="end"/>
          </w:r>
          <w:r>
            <w:fldChar w:fldCharType="end"/>
          </w:r>
        </w:p>
        <w:p>
          <w:pPr>
            <w:pStyle w:val="9"/>
            <w:tabs>
              <w:tab w:val="right" w:leader="dot" w:pos="9771"/>
            </w:tabs>
          </w:pPr>
          <w:r>
            <w:fldChar w:fldCharType="begin"/>
          </w:r>
          <w:r>
            <w:instrText xml:space="preserve"> HYPERLINK \l "_Toc496693322" </w:instrText>
          </w:r>
          <w:r>
            <w:fldChar w:fldCharType="separate"/>
          </w:r>
          <w:r>
            <w:rPr>
              <w:rStyle w:val="15"/>
              <w:rFonts w:hint="eastAsia"/>
            </w:rPr>
            <w:t>总经理致辞</w:t>
          </w:r>
          <w:r>
            <w:tab/>
          </w:r>
          <w:r>
            <w:fldChar w:fldCharType="begin"/>
          </w:r>
          <w:r>
            <w:instrText xml:space="preserve"> PAGEREF _Toc496693322 \h </w:instrText>
          </w:r>
          <w:r>
            <w:fldChar w:fldCharType="separate"/>
          </w:r>
          <w:r>
            <w:t>3</w:t>
          </w:r>
          <w:r>
            <w:fldChar w:fldCharType="end"/>
          </w:r>
          <w:r>
            <w:fldChar w:fldCharType="end"/>
          </w:r>
        </w:p>
        <w:p>
          <w:pPr>
            <w:pStyle w:val="9"/>
            <w:tabs>
              <w:tab w:val="right" w:leader="dot" w:pos="9771"/>
            </w:tabs>
          </w:pPr>
          <w:r>
            <w:fldChar w:fldCharType="begin"/>
          </w:r>
          <w:r>
            <w:instrText xml:space="preserve"> HYPERLINK \l "_Toc496693323" </w:instrText>
          </w:r>
          <w:r>
            <w:fldChar w:fldCharType="separate"/>
          </w:r>
          <w:r>
            <w:rPr>
              <w:rStyle w:val="15"/>
              <w:rFonts w:hint="eastAsia" w:asciiTheme="minorEastAsia" w:hAnsiTheme="minorEastAsia"/>
            </w:rPr>
            <w:t>企业简介</w:t>
          </w:r>
          <w:r>
            <w:tab/>
          </w:r>
          <w:r>
            <w:fldChar w:fldCharType="begin"/>
          </w:r>
          <w:r>
            <w:instrText xml:space="preserve"> PAGEREF _Toc496693323 \h </w:instrText>
          </w:r>
          <w:r>
            <w:fldChar w:fldCharType="separate"/>
          </w:r>
          <w:r>
            <w:t>4</w:t>
          </w:r>
          <w:r>
            <w:fldChar w:fldCharType="end"/>
          </w:r>
          <w:r>
            <w:fldChar w:fldCharType="end"/>
          </w:r>
        </w:p>
        <w:p>
          <w:pPr>
            <w:pStyle w:val="9"/>
            <w:tabs>
              <w:tab w:val="right" w:leader="dot" w:pos="9771"/>
            </w:tabs>
          </w:pPr>
          <w:r>
            <w:fldChar w:fldCharType="begin"/>
          </w:r>
          <w:r>
            <w:instrText xml:space="preserve"> HYPERLINK \l "_Toc496693324" </w:instrText>
          </w:r>
          <w:r>
            <w:fldChar w:fldCharType="separate"/>
          </w:r>
          <w:r>
            <w:rPr>
              <w:rStyle w:val="15"/>
              <w:rFonts w:hint="eastAsia"/>
            </w:rPr>
            <w:t>第二章企业质量管理</w:t>
          </w:r>
          <w:r>
            <w:tab/>
          </w:r>
          <w:r>
            <w:fldChar w:fldCharType="begin"/>
          </w:r>
          <w:r>
            <w:instrText xml:space="preserve"> PAGEREF _Toc496693324 \h </w:instrText>
          </w:r>
          <w:r>
            <w:fldChar w:fldCharType="separate"/>
          </w:r>
          <w:r>
            <w:t>6</w:t>
          </w:r>
          <w:r>
            <w:fldChar w:fldCharType="end"/>
          </w:r>
          <w:r>
            <w:fldChar w:fldCharType="end"/>
          </w:r>
        </w:p>
        <w:p>
          <w:pPr>
            <w:pStyle w:val="9"/>
            <w:tabs>
              <w:tab w:val="right" w:leader="dot" w:pos="9771"/>
            </w:tabs>
          </w:pPr>
          <w:r>
            <w:fldChar w:fldCharType="begin"/>
          </w:r>
          <w:r>
            <w:instrText xml:space="preserve"> HYPERLINK \l "_Toc496693325" </w:instrText>
          </w:r>
          <w:r>
            <w:fldChar w:fldCharType="separate"/>
          </w:r>
          <w:r>
            <w:rPr>
              <w:rStyle w:val="15"/>
            </w:rPr>
            <w:t>1</w:t>
          </w:r>
          <w:r>
            <w:rPr>
              <w:rStyle w:val="15"/>
              <w:rFonts w:hint="eastAsia"/>
            </w:rPr>
            <w:t>、企业质量理念</w:t>
          </w:r>
          <w:r>
            <w:tab/>
          </w:r>
          <w:r>
            <w:fldChar w:fldCharType="begin"/>
          </w:r>
          <w:r>
            <w:instrText xml:space="preserve"> PAGEREF _Toc496693325 \h </w:instrText>
          </w:r>
          <w:r>
            <w:fldChar w:fldCharType="separate"/>
          </w:r>
          <w:r>
            <w:t>6</w:t>
          </w:r>
          <w:r>
            <w:fldChar w:fldCharType="end"/>
          </w:r>
          <w:r>
            <w:fldChar w:fldCharType="end"/>
          </w:r>
        </w:p>
        <w:p>
          <w:pPr>
            <w:pStyle w:val="9"/>
            <w:tabs>
              <w:tab w:val="right" w:leader="dot" w:pos="9771"/>
            </w:tabs>
          </w:pPr>
          <w:r>
            <w:fldChar w:fldCharType="begin"/>
          </w:r>
          <w:r>
            <w:instrText xml:space="preserve"> HYPERLINK \l "_Toc496693326" </w:instrText>
          </w:r>
          <w:r>
            <w:fldChar w:fldCharType="separate"/>
          </w:r>
          <w:r>
            <w:rPr>
              <w:rStyle w:val="15"/>
            </w:rPr>
            <w:t>2</w:t>
          </w:r>
          <w:r>
            <w:rPr>
              <w:rStyle w:val="15"/>
              <w:rFonts w:hint="eastAsia"/>
            </w:rPr>
            <w:t>、质量管理机构</w:t>
          </w:r>
          <w:r>
            <w:tab/>
          </w:r>
          <w:r>
            <w:fldChar w:fldCharType="begin"/>
          </w:r>
          <w:r>
            <w:instrText xml:space="preserve"> PAGEREF _Toc496693326 \h </w:instrText>
          </w:r>
          <w:r>
            <w:fldChar w:fldCharType="separate"/>
          </w:r>
          <w:r>
            <w:t>6</w:t>
          </w:r>
          <w:r>
            <w:fldChar w:fldCharType="end"/>
          </w:r>
          <w:r>
            <w:fldChar w:fldCharType="end"/>
          </w:r>
        </w:p>
        <w:p>
          <w:pPr>
            <w:pStyle w:val="9"/>
            <w:tabs>
              <w:tab w:val="right" w:leader="dot" w:pos="9771"/>
            </w:tabs>
          </w:pPr>
          <w:r>
            <w:fldChar w:fldCharType="begin"/>
          </w:r>
          <w:r>
            <w:instrText xml:space="preserve"> HYPERLINK \l "_Toc496693327" </w:instrText>
          </w:r>
          <w:r>
            <w:fldChar w:fldCharType="separate"/>
          </w:r>
          <w:r>
            <w:rPr>
              <w:rStyle w:val="15"/>
            </w:rPr>
            <w:t>3</w:t>
          </w:r>
          <w:r>
            <w:rPr>
              <w:rStyle w:val="15"/>
              <w:rFonts w:hint="eastAsia"/>
            </w:rPr>
            <w:t>、质量管理体系</w:t>
          </w:r>
          <w:r>
            <w:tab/>
          </w:r>
          <w:r>
            <w:fldChar w:fldCharType="begin"/>
          </w:r>
          <w:r>
            <w:instrText xml:space="preserve"> PAGEREF _Toc496693327 \h </w:instrText>
          </w:r>
          <w:r>
            <w:fldChar w:fldCharType="separate"/>
          </w:r>
          <w:r>
            <w:t>9</w:t>
          </w:r>
          <w:r>
            <w:fldChar w:fldCharType="end"/>
          </w:r>
          <w:r>
            <w:fldChar w:fldCharType="end"/>
          </w:r>
        </w:p>
        <w:p>
          <w:pPr>
            <w:pStyle w:val="9"/>
            <w:tabs>
              <w:tab w:val="right" w:leader="dot" w:pos="9771"/>
            </w:tabs>
          </w:pPr>
          <w:r>
            <w:rPr>
              <w:rFonts w:hint="eastAsia"/>
            </w:rPr>
            <w:t>4、企业质量诚信</w:t>
          </w:r>
          <w:r>
            <w:t>…………………………………………………………………………………………………………………………………………………</w:t>
          </w:r>
          <w:r>
            <w:rPr>
              <w:rFonts w:hint="eastAsia"/>
            </w:rPr>
            <w:t>.11</w:t>
          </w:r>
        </w:p>
        <w:p>
          <w:pPr>
            <w:pStyle w:val="9"/>
            <w:tabs>
              <w:tab w:val="right" w:leader="dot" w:pos="9771"/>
            </w:tabs>
          </w:pPr>
          <w:r>
            <w:rPr>
              <w:rFonts w:hint="eastAsia"/>
            </w:rPr>
            <w:t>5、质量文化建设</w:t>
          </w:r>
          <w:r>
            <w:t>…………………………………………………………………………………………………………………………………………………</w:t>
          </w:r>
          <w:r>
            <w:rPr>
              <w:rFonts w:hint="eastAsia"/>
            </w:rPr>
            <w:t>11</w:t>
          </w:r>
        </w:p>
        <w:p>
          <w:pPr>
            <w:pStyle w:val="9"/>
            <w:tabs>
              <w:tab w:val="right" w:leader="dot" w:pos="9771"/>
            </w:tabs>
          </w:pPr>
          <w:r>
            <w:rPr>
              <w:rFonts w:hint="eastAsia"/>
            </w:rPr>
            <w:t>6、企业产品标准</w:t>
          </w:r>
          <w:r>
            <w:t>…………………………………………………………………………………………………………………………………………………</w:t>
          </w:r>
          <w:r>
            <w:rPr>
              <w:rFonts w:hint="eastAsia"/>
            </w:rPr>
            <w:t>11</w:t>
          </w:r>
        </w:p>
        <w:p>
          <w:pPr>
            <w:pStyle w:val="9"/>
            <w:tabs>
              <w:tab w:val="right" w:leader="dot" w:pos="9771"/>
            </w:tabs>
          </w:pPr>
          <w:r>
            <w:rPr>
              <w:rFonts w:hint="eastAsia"/>
            </w:rPr>
            <w:t>7、企业计量水平</w:t>
          </w:r>
          <w:r>
            <w:t>…………………………………………………………………………………………………………………………………………………</w:t>
          </w:r>
          <w:r>
            <w:rPr>
              <w:rFonts w:hint="eastAsia"/>
            </w:rPr>
            <w:t>12</w:t>
          </w:r>
        </w:p>
        <w:p>
          <w:pPr>
            <w:pStyle w:val="9"/>
            <w:tabs>
              <w:tab w:val="right" w:leader="dot" w:pos="9771"/>
            </w:tabs>
          </w:pPr>
          <w:r>
            <w:rPr>
              <w:rFonts w:hint="eastAsia"/>
            </w:rPr>
            <w:t>8、认证认可情况</w:t>
          </w:r>
          <w:r>
            <w:t>…………………………………………………………………………………………………………………………………………………</w:t>
          </w:r>
          <w:r>
            <w:rPr>
              <w:rFonts w:hint="eastAsia"/>
            </w:rPr>
            <w:t>12</w:t>
          </w:r>
        </w:p>
        <w:p>
          <w:pPr>
            <w:pStyle w:val="9"/>
            <w:tabs>
              <w:tab w:val="right" w:leader="dot" w:pos="9771"/>
            </w:tabs>
          </w:pPr>
          <w:r>
            <w:rPr>
              <w:rFonts w:hint="eastAsia"/>
            </w:rPr>
            <w:t>9、产品质量承诺</w:t>
          </w:r>
          <w:r>
            <w:t>…………………………………………………………………………………………………………………………………………………</w:t>
          </w:r>
          <w:r>
            <w:rPr>
              <w:rFonts w:hint="eastAsia"/>
            </w:rPr>
            <w:t>13</w:t>
          </w:r>
        </w:p>
        <w:p>
          <w:pPr>
            <w:pStyle w:val="9"/>
            <w:tabs>
              <w:tab w:val="right" w:leader="dot" w:pos="9771"/>
            </w:tabs>
          </w:pPr>
          <w:r>
            <w:t>10</w:t>
          </w:r>
          <w:r>
            <w:rPr>
              <w:rFonts w:hint="eastAsia"/>
            </w:rPr>
            <w:t>、“三包”责任</w:t>
          </w:r>
          <w:r>
            <w:t>…………………………………………………………………………………………………………………………………………………</w:t>
          </w:r>
          <w:r>
            <w:rPr>
              <w:rFonts w:hint="eastAsia"/>
            </w:rPr>
            <w:t>13</w:t>
          </w:r>
        </w:p>
        <w:p>
          <w:pPr>
            <w:pStyle w:val="9"/>
            <w:tabs>
              <w:tab w:val="right" w:leader="dot" w:pos="9771"/>
            </w:tabs>
          </w:pPr>
          <w:r>
            <w:t>11</w:t>
          </w:r>
          <w:r>
            <w:rPr>
              <w:rFonts w:hint="eastAsia"/>
            </w:rPr>
            <w:t>质量投诉处理</w:t>
          </w:r>
          <w:r>
            <w:t>…………………………………………………………………………………………………………………………………………………</w:t>
          </w:r>
          <w:r>
            <w:rPr>
              <w:rFonts w:hint="eastAsia"/>
            </w:rPr>
            <w:t>.13</w:t>
          </w:r>
        </w:p>
        <w:p>
          <w:pPr>
            <w:pStyle w:val="9"/>
            <w:tabs>
              <w:tab w:val="right" w:leader="dot" w:pos="9771"/>
            </w:tabs>
          </w:pPr>
          <w:r>
            <w:t>12</w:t>
          </w:r>
          <w:r>
            <w:rPr>
              <w:rFonts w:hint="eastAsia"/>
            </w:rPr>
            <w:t>、质量风险监测</w:t>
          </w:r>
          <w:r>
            <w:t>………………………………………………………………………………………………………………………………………………</w:t>
          </w:r>
          <w:r>
            <w:rPr>
              <w:rFonts w:hint="eastAsia"/>
            </w:rPr>
            <w:t>.14</w:t>
          </w:r>
        </w:p>
        <w:p>
          <w:pPr>
            <w:pStyle w:val="9"/>
            <w:tabs>
              <w:tab w:val="right" w:leader="dot" w:pos="9771"/>
            </w:tabs>
          </w:pPr>
          <w:r>
            <w:fldChar w:fldCharType="begin"/>
          </w:r>
          <w:r>
            <w:instrText xml:space="preserve"> HYPERLINK \l "_Toc496693337" </w:instrText>
          </w:r>
          <w:r>
            <w:fldChar w:fldCharType="separate"/>
          </w:r>
          <w:r>
            <w:rPr>
              <w:rStyle w:val="15"/>
              <w:rFonts w:hint="eastAsia"/>
            </w:rPr>
            <w:t>展望</w:t>
          </w:r>
          <w:r>
            <w:tab/>
          </w:r>
          <w:r>
            <w:fldChar w:fldCharType="begin"/>
          </w:r>
          <w:r>
            <w:instrText xml:space="preserve"> PAGEREF _Toc496693337 \h </w:instrText>
          </w:r>
          <w:r>
            <w:fldChar w:fldCharType="separate"/>
          </w:r>
          <w:r>
            <w:t>15</w:t>
          </w:r>
          <w:r>
            <w:fldChar w:fldCharType="end"/>
          </w:r>
          <w:r>
            <w:fldChar w:fldCharType="end"/>
          </w:r>
        </w:p>
        <w:p>
          <w:pPr>
            <w:pStyle w:val="9"/>
            <w:tabs>
              <w:tab w:val="right" w:leader="dot" w:pos="9771"/>
            </w:tabs>
          </w:pPr>
          <w:r>
            <w:fldChar w:fldCharType="begin"/>
          </w:r>
          <w:r>
            <w:instrText xml:space="preserve"> HYPERLINK \l "_Toc496693338" </w:instrText>
          </w:r>
          <w:r>
            <w:fldChar w:fldCharType="separate"/>
          </w:r>
          <w:r>
            <w:rPr>
              <w:rStyle w:val="15"/>
              <w:rFonts w:hint="eastAsia"/>
            </w:rPr>
            <w:t>读者意见反馈</w:t>
          </w:r>
          <w:r>
            <w:tab/>
          </w:r>
          <w:r>
            <w:fldChar w:fldCharType="begin"/>
          </w:r>
          <w:r>
            <w:instrText xml:space="preserve"> PAGEREF _Toc496693338 \h </w:instrText>
          </w:r>
          <w:r>
            <w:fldChar w:fldCharType="separate"/>
          </w:r>
          <w:r>
            <w:t>16</w:t>
          </w:r>
          <w:r>
            <w:fldChar w:fldCharType="end"/>
          </w:r>
          <w:r>
            <w:fldChar w:fldCharType="end"/>
          </w:r>
        </w:p>
        <w:p>
          <w:r>
            <w:rPr>
              <w:b/>
              <w:bCs/>
              <w:lang w:val="zh-CN"/>
            </w:rPr>
            <w:fldChar w:fldCharType="end"/>
          </w:r>
        </w:p>
      </w:sdtContent>
    </w:sdt>
    <w:p>
      <w:pPr>
        <w:jc w:val="center"/>
        <w:rPr>
          <w:sz w:val="28"/>
          <w:szCs w:val="28"/>
        </w:rPr>
      </w:pPr>
    </w:p>
    <w:p>
      <w:pPr>
        <w:jc w:val="cente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pStyle w:val="2"/>
        <w:jc w:val="center"/>
      </w:pPr>
      <w:bookmarkStart w:id="0" w:name="_Toc496693320"/>
      <w:bookmarkStart w:id="1" w:name="_Toc448411637"/>
      <w:r>
        <w:rPr>
          <w:rFonts w:hint="eastAsia"/>
        </w:rPr>
        <w:t>第一部分：前言</w:t>
      </w:r>
      <w:bookmarkEnd w:id="0"/>
      <w:bookmarkEnd w:id="1"/>
    </w:p>
    <w:p>
      <w:pPr>
        <w:pStyle w:val="2"/>
        <w:jc w:val="center"/>
        <w:rPr>
          <w:b w:val="0"/>
          <w:sz w:val="36"/>
          <w:szCs w:val="36"/>
        </w:rPr>
      </w:pPr>
      <w:bookmarkStart w:id="2" w:name="_Toc448387029"/>
      <w:bookmarkStart w:id="3" w:name="_Toc496693321"/>
      <w:bookmarkStart w:id="4" w:name="_Toc448411638"/>
      <w:r>
        <w:rPr>
          <w:rFonts w:hint="eastAsia"/>
          <w:b w:val="0"/>
          <w:sz w:val="36"/>
          <w:szCs w:val="36"/>
        </w:rPr>
        <w:t>编制说明</w:t>
      </w:r>
      <w:bookmarkEnd w:id="2"/>
      <w:bookmarkEnd w:id="3"/>
      <w:bookmarkEnd w:id="4"/>
    </w:p>
    <w:p>
      <w:pPr>
        <w:jc w:val="center"/>
        <w:rPr>
          <w:sz w:val="28"/>
          <w:szCs w:val="28"/>
        </w:rPr>
      </w:pPr>
      <w:r>
        <w:rPr>
          <w:rFonts w:hint="eastAsia"/>
          <w:sz w:val="28"/>
          <w:szCs w:val="28"/>
        </w:rPr>
        <w:t>本报告是</w:t>
      </w:r>
      <w:r>
        <w:rPr>
          <w:rFonts w:hint="eastAsia"/>
          <w:sz w:val="28"/>
          <w:szCs w:val="28"/>
          <w:lang w:eastAsia="zh-CN"/>
        </w:rPr>
        <w:t>浙江德联家居股份有限公司</w:t>
      </w:r>
      <w:r>
        <w:rPr>
          <w:rFonts w:hint="eastAsia"/>
          <w:sz w:val="28"/>
          <w:szCs w:val="28"/>
        </w:rPr>
        <w:t>发布的第一份质量信用报告。</w:t>
      </w:r>
    </w:p>
    <w:p>
      <w:pPr>
        <w:jc w:val="left"/>
        <w:rPr>
          <w:rFonts w:hint="eastAsia" w:eastAsiaTheme="minorEastAsia"/>
          <w:sz w:val="28"/>
          <w:szCs w:val="28"/>
          <w:lang w:eastAsia="zh-CN"/>
        </w:rPr>
      </w:pPr>
      <w:r>
        <w:rPr>
          <w:rFonts w:hint="eastAsia"/>
          <w:sz w:val="28"/>
          <w:szCs w:val="28"/>
        </w:rPr>
        <w:t>报告组织范围：</w:t>
      </w:r>
      <w:r>
        <w:rPr>
          <w:rFonts w:hint="eastAsia"/>
          <w:sz w:val="28"/>
          <w:szCs w:val="28"/>
          <w:lang w:eastAsia="zh-CN"/>
        </w:rPr>
        <w:t>浙江德联家居股份有限公司</w:t>
      </w:r>
    </w:p>
    <w:p>
      <w:pPr>
        <w:jc w:val="left"/>
        <w:rPr>
          <w:sz w:val="28"/>
          <w:szCs w:val="28"/>
        </w:rPr>
      </w:pPr>
      <w:r>
        <w:rPr>
          <w:rFonts w:hint="eastAsia"/>
          <w:sz w:val="28"/>
          <w:szCs w:val="28"/>
        </w:rPr>
        <w:t>报告时间范围：20</w:t>
      </w:r>
      <w:r>
        <w:rPr>
          <w:rFonts w:hint="eastAsia"/>
          <w:sz w:val="28"/>
          <w:szCs w:val="28"/>
          <w:lang w:val="en-US" w:eastAsia="zh-CN"/>
        </w:rPr>
        <w:t>20</w:t>
      </w:r>
      <w:r>
        <w:rPr>
          <w:rFonts w:hint="eastAsia"/>
          <w:sz w:val="28"/>
          <w:szCs w:val="28"/>
        </w:rPr>
        <w:t>年1月1日至20</w:t>
      </w:r>
      <w:r>
        <w:rPr>
          <w:rFonts w:hint="eastAsia"/>
          <w:sz w:val="28"/>
          <w:szCs w:val="28"/>
          <w:lang w:val="en-US" w:eastAsia="zh-CN"/>
        </w:rPr>
        <w:t>20</w:t>
      </w:r>
      <w:r>
        <w:rPr>
          <w:rFonts w:hint="eastAsia"/>
          <w:sz w:val="28"/>
          <w:szCs w:val="28"/>
        </w:rPr>
        <w:t>年</w:t>
      </w:r>
      <w:r>
        <w:rPr>
          <w:rFonts w:hint="eastAsia"/>
          <w:sz w:val="28"/>
          <w:szCs w:val="28"/>
          <w:lang w:val="en-US" w:eastAsia="zh-CN"/>
        </w:rPr>
        <w:t>12</w:t>
      </w:r>
      <w:r>
        <w:rPr>
          <w:rFonts w:hint="eastAsia"/>
          <w:sz w:val="28"/>
          <w:szCs w:val="28"/>
        </w:rPr>
        <w:t>月3</w:t>
      </w:r>
      <w:r>
        <w:rPr>
          <w:rFonts w:hint="eastAsia"/>
          <w:sz w:val="28"/>
          <w:szCs w:val="28"/>
          <w:lang w:val="en-US" w:eastAsia="zh-CN"/>
        </w:rPr>
        <w:t>1</w:t>
      </w:r>
      <w:r>
        <w:rPr>
          <w:rFonts w:hint="eastAsia"/>
          <w:sz w:val="28"/>
          <w:szCs w:val="28"/>
        </w:rPr>
        <w:t>日</w:t>
      </w:r>
    </w:p>
    <w:p>
      <w:pPr>
        <w:jc w:val="left"/>
        <w:rPr>
          <w:sz w:val="28"/>
          <w:szCs w:val="28"/>
        </w:rPr>
      </w:pPr>
      <w:r>
        <w:rPr>
          <w:rFonts w:hint="eastAsia"/>
          <w:sz w:val="28"/>
          <w:szCs w:val="28"/>
        </w:rPr>
        <w:t>报告发布周期：年度报告</w:t>
      </w:r>
    </w:p>
    <w:p>
      <w:pPr>
        <w:jc w:val="left"/>
        <w:rPr>
          <w:rFonts w:hint="eastAsia" w:eastAsiaTheme="minorEastAsia"/>
          <w:sz w:val="28"/>
          <w:szCs w:val="28"/>
          <w:lang w:eastAsia="zh-CN"/>
        </w:rPr>
      </w:pPr>
      <w:r>
        <w:rPr>
          <w:rFonts w:hint="eastAsia"/>
          <w:sz w:val="28"/>
          <w:szCs w:val="28"/>
        </w:rPr>
        <w:t>报告数据说明：本报告采用数据来自于</w:t>
      </w:r>
      <w:r>
        <w:rPr>
          <w:rFonts w:hint="eastAsia"/>
          <w:sz w:val="28"/>
          <w:szCs w:val="28"/>
          <w:lang w:eastAsia="zh-CN"/>
        </w:rPr>
        <w:t>浙江德联家居股份有限公司</w:t>
      </w:r>
    </w:p>
    <w:p>
      <w:pPr>
        <w:jc w:val="left"/>
        <w:rPr>
          <w:rFonts w:hint="eastAsia" w:eastAsiaTheme="minorEastAsia"/>
          <w:sz w:val="28"/>
          <w:szCs w:val="28"/>
          <w:lang w:eastAsia="zh-CN"/>
        </w:rPr>
      </w:pPr>
      <w:r>
        <w:rPr>
          <w:rFonts w:hint="eastAsia"/>
          <w:sz w:val="28"/>
          <w:szCs w:val="28"/>
        </w:rPr>
        <w:t>联系方式：</w:t>
      </w:r>
      <w:r>
        <w:rPr>
          <w:rFonts w:hint="eastAsia"/>
          <w:sz w:val="28"/>
          <w:szCs w:val="28"/>
          <w:lang w:eastAsia="zh-CN"/>
        </w:rPr>
        <w:t>浙江德联家居股份有限公司</w:t>
      </w:r>
    </w:p>
    <w:p>
      <w:pPr>
        <w:spacing w:line="276" w:lineRule="auto"/>
        <w:rPr>
          <w:rFonts w:hint="default" w:asciiTheme="minorEastAsia" w:hAnsiTheme="minorEastAsia"/>
          <w:sz w:val="28"/>
          <w:szCs w:val="28"/>
          <w:lang w:val="en-US"/>
        </w:rPr>
      </w:pPr>
      <w:r>
        <w:rPr>
          <w:rFonts w:hint="eastAsia" w:asciiTheme="minorEastAsia" w:hAnsiTheme="minorEastAsia"/>
          <w:sz w:val="28"/>
          <w:szCs w:val="28"/>
        </w:rPr>
        <w:t>通讯地址：</w:t>
      </w:r>
      <w:r>
        <w:rPr>
          <w:rFonts w:hint="eastAsia" w:asciiTheme="minorEastAsia" w:hAnsiTheme="minorEastAsia"/>
          <w:sz w:val="28"/>
          <w:szCs w:val="28"/>
          <w:lang w:val="en-US" w:eastAsia="zh-CN"/>
        </w:rPr>
        <w:t>浙江省湖州市南浔经济开发区年丰西路2688号-1</w:t>
      </w:r>
    </w:p>
    <w:p>
      <w:pPr>
        <w:spacing w:line="276" w:lineRule="auto"/>
        <w:rPr>
          <w:rFonts w:hint="eastAsia" w:asciiTheme="minorEastAsia" w:hAnsiTheme="minorEastAsia"/>
          <w:sz w:val="28"/>
          <w:szCs w:val="28"/>
          <w:lang w:val="en-US" w:eastAsia="zh-CN"/>
        </w:rPr>
      </w:pPr>
      <w:r>
        <w:rPr>
          <w:rFonts w:hint="eastAsia" w:asciiTheme="minorEastAsia" w:hAnsiTheme="minorEastAsia"/>
          <w:sz w:val="28"/>
          <w:szCs w:val="28"/>
        </w:rPr>
        <w:t>生产地址：</w:t>
      </w:r>
      <w:r>
        <w:rPr>
          <w:rFonts w:hint="eastAsia" w:asciiTheme="minorEastAsia" w:hAnsiTheme="minorEastAsia"/>
          <w:sz w:val="28"/>
          <w:szCs w:val="28"/>
          <w:lang w:val="en-US" w:eastAsia="zh-CN"/>
        </w:rPr>
        <w:t>浙江省湖州市南浔经济开发区年丰西路2688号-1</w:t>
      </w:r>
    </w:p>
    <w:p>
      <w:pPr>
        <w:spacing w:line="276" w:lineRule="auto"/>
        <w:rPr>
          <w:rFonts w:hint="default" w:asciiTheme="minorEastAsia" w:hAnsiTheme="minorEastAsia" w:eastAsiaTheme="minorEastAsia"/>
          <w:sz w:val="28"/>
          <w:szCs w:val="28"/>
          <w:lang w:val="en-US" w:eastAsia="zh-CN"/>
        </w:rPr>
      </w:pPr>
      <w:r>
        <w:rPr>
          <w:rFonts w:hint="eastAsia" w:asciiTheme="minorEastAsia" w:hAnsiTheme="minorEastAsia"/>
          <w:sz w:val="28"/>
          <w:szCs w:val="28"/>
        </w:rPr>
        <w:t>邮编：313</w:t>
      </w:r>
      <w:r>
        <w:rPr>
          <w:rFonts w:hint="eastAsia" w:asciiTheme="minorEastAsia" w:hAnsiTheme="minorEastAsia"/>
          <w:sz w:val="28"/>
          <w:szCs w:val="28"/>
          <w:lang w:val="en-US" w:eastAsia="zh-CN"/>
        </w:rPr>
        <w:t>009</w:t>
      </w:r>
    </w:p>
    <w:p>
      <w:pPr>
        <w:spacing w:line="276" w:lineRule="auto"/>
        <w:rPr>
          <w:rFonts w:asciiTheme="minorEastAsia" w:hAnsiTheme="minorEastAsia"/>
          <w:sz w:val="28"/>
          <w:szCs w:val="28"/>
        </w:rPr>
      </w:pPr>
      <w:r>
        <w:rPr>
          <w:rFonts w:hint="eastAsia" w:asciiTheme="minorEastAsia" w:hAnsiTheme="minorEastAsia"/>
          <w:sz w:val="28"/>
          <w:szCs w:val="28"/>
        </w:rPr>
        <w:t xml:space="preserve">电话： </w:t>
      </w:r>
      <w:r>
        <w:rPr>
          <w:rFonts w:hint="eastAsia" w:asciiTheme="minorEastAsia" w:hAnsiTheme="minorEastAsia"/>
          <w:sz w:val="28"/>
          <w:szCs w:val="28"/>
          <w:lang w:val="en-US" w:eastAsia="zh-CN"/>
        </w:rPr>
        <w:t>0572-2901611</w:t>
      </w:r>
      <w:r>
        <w:rPr>
          <w:rFonts w:hint="eastAsia" w:asciiTheme="minorEastAsia" w:hAnsiTheme="minorEastAsia"/>
          <w:sz w:val="28"/>
          <w:szCs w:val="28"/>
        </w:rPr>
        <w:t xml:space="preserve"> </w:t>
      </w:r>
    </w:p>
    <w:p>
      <w:pPr>
        <w:spacing w:line="276" w:lineRule="auto"/>
        <w:rPr>
          <w:rFonts w:asciiTheme="minorEastAsia" w:hAnsiTheme="minorEastAsia"/>
          <w:sz w:val="28"/>
          <w:szCs w:val="28"/>
        </w:rPr>
      </w:pPr>
      <w:r>
        <w:rPr>
          <w:rFonts w:hint="eastAsia" w:asciiTheme="minorEastAsia" w:hAnsiTheme="minorEastAsia"/>
          <w:sz w:val="28"/>
          <w:szCs w:val="28"/>
        </w:rPr>
        <w:t>传真：</w:t>
      </w:r>
      <w:r>
        <w:rPr>
          <w:rFonts w:hint="eastAsia" w:asciiTheme="minorEastAsia" w:hAnsiTheme="minorEastAsia"/>
          <w:sz w:val="28"/>
          <w:szCs w:val="28"/>
          <w:lang w:val="en-US" w:eastAsia="zh-CN"/>
        </w:rPr>
        <w:t xml:space="preserve"> 0572-2901611  </w:t>
      </w:r>
      <w:r>
        <w:rPr>
          <w:rFonts w:hint="eastAsia" w:asciiTheme="minorEastAsia" w:hAnsiTheme="minorEastAsia"/>
          <w:sz w:val="28"/>
          <w:szCs w:val="28"/>
        </w:rPr>
        <w:t xml:space="preserve"> </w:t>
      </w:r>
    </w:p>
    <w:p>
      <w:pPr>
        <w:spacing w:line="360" w:lineRule="exact"/>
        <w:rPr>
          <w:rFonts w:asciiTheme="minorEastAsia" w:hAnsiTheme="minorEastAsia"/>
          <w:color w:val="0070C0"/>
          <w:sz w:val="28"/>
          <w:szCs w:val="28"/>
        </w:rPr>
      </w:pPr>
      <w:r>
        <w:rPr>
          <w:rFonts w:hint="eastAsia" w:asciiTheme="minorEastAsia" w:hAnsiTheme="minorEastAsia"/>
          <w:color w:val="0070C0"/>
          <w:sz w:val="28"/>
          <w:szCs w:val="28"/>
        </w:rPr>
        <w:t>网    址：http://www.hzlhdb.com/</w:t>
      </w:r>
    </w:p>
    <w:p>
      <w:pPr>
        <w:spacing w:line="360" w:lineRule="exact"/>
        <w:rPr>
          <w:rFonts w:hint="default" w:asciiTheme="minorEastAsia" w:hAnsiTheme="minorEastAsia" w:eastAsiaTheme="minorEastAsia"/>
          <w:color w:val="0070C0"/>
          <w:sz w:val="28"/>
          <w:szCs w:val="28"/>
          <w:lang w:val="en-US" w:eastAsia="zh-CN"/>
        </w:rPr>
      </w:pPr>
      <w:r>
        <w:rPr>
          <w:rFonts w:hint="eastAsia" w:asciiTheme="minorEastAsia" w:hAnsiTheme="minorEastAsia"/>
          <w:color w:val="0070C0"/>
          <w:sz w:val="28"/>
          <w:szCs w:val="28"/>
        </w:rPr>
        <w:t>邮    箱：</w:t>
      </w:r>
      <w:bookmarkStart w:id="32" w:name="_GoBack"/>
      <w:r>
        <w:rPr>
          <w:rFonts w:hint="eastAsia" w:asciiTheme="minorEastAsia" w:hAnsiTheme="minorEastAsia"/>
          <w:color w:val="0070C0"/>
          <w:sz w:val="28"/>
          <w:szCs w:val="28"/>
          <w:lang w:val="en-US" w:eastAsia="zh-CN"/>
        </w:rPr>
        <w:t>495649827@qq.com</w:t>
      </w:r>
      <w:bookmarkEnd w:id="32"/>
    </w:p>
    <w:p>
      <w:pPr>
        <w:widowControl/>
        <w:shd w:val="clear" w:color="auto" w:fill="FFFFFF"/>
        <w:spacing w:line="330" w:lineRule="atLeast"/>
        <w:jc w:val="center"/>
        <w:rPr>
          <w:rFonts w:ascii="宋体" w:hAnsi="宋体" w:eastAsia="宋体" w:cs="宋体"/>
          <w:color w:val="464646"/>
          <w:kern w:val="0"/>
          <w:szCs w:val="21"/>
        </w:rPr>
      </w:pPr>
    </w:p>
    <w:p>
      <w:pPr>
        <w:widowControl/>
        <w:shd w:val="clear" w:color="auto" w:fill="FFFFFF"/>
        <w:spacing w:line="330" w:lineRule="atLeast"/>
        <w:jc w:val="center"/>
        <w:rPr>
          <w:rFonts w:ascii="宋体" w:hAnsi="宋体" w:eastAsia="宋体" w:cs="宋体"/>
          <w:color w:val="464646"/>
          <w:kern w:val="0"/>
          <w:szCs w:val="21"/>
        </w:rPr>
      </w:pPr>
    </w:p>
    <w:p>
      <w:pPr>
        <w:widowControl/>
        <w:shd w:val="clear" w:color="auto" w:fill="FFFFFF"/>
        <w:spacing w:line="330" w:lineRule="atLeast"/>
        <w:rPr>
          <w:rFonts w:ascii="宋体" w:hAnsi="宋体" w:eastAsia="宋体" w:cs="宋体"/>
          <w:color w:val="464646"/>
          <w:kern w:val="0"/>
          <w:szCs w:val="21"/>
        </w:rPr>
      </w:pPr>
    </w:p>
    <w:p>
      <w:pPr>
        <w:widowControl/>
        <w:shd w:val="clear" w:color="auto" w:fill="FFFFFF"/>
        <w:spacing w:line="330" w:lineRule="atLeast"/>
        <w:rPr>
          <w:rFonts w:ascii="宋体" w:hAnsi="宋体" w:eastAsia="宋体" w:cs="宋体"/>
          <w:color w:val="464646"/>
          <w:kern w:val="0"/>
          <w:szCs w:val="21"/>
        </w:rPr>
      </w:pPr>
    </w:p>
    <w:p>
      <w:pPr>
        <w:widowControl/>
        <w:shd w:val="clear" w:color="auto" w:fill="FFFFFF"/>
        <w:spacing w:line="330" w:lineRule="atLeast"/>
        <w:rPr>
          <w:rFonts w:ascii="宋体" w:hAnsi="宋体" w:eastAsia="宋体" w:cs="宋体"/>
          <w:color w:val="464646"/>
          <w:kern w:val="0"/>
          <w:szCs w:val="21"/>
        </w:rPr>
      </w:pPr>
    </w:p>
    <w:p>
      <w:pPr>
        <w:widowControl/>
        <w:shd w:val="clear" w:color="auto" w:fill="FFFFFF"/>
        <w:spacing w:line="330" w:lineRule="atLeast"/>
        <w:rPr>
          <w:rFonts w:ascii="宋体" w:hAnsi="宋体" w:eastAsia="宋体" w:cs="宋体"/>
          <w:color w:val="464646"/>
          <w:kern w:val="0"/>
          <w:szCs w:val="21"/>
        </w:rPr>
      </w:pPr>
    </w:p>
    <w:p>
      <w:pPr>
        <w:widowControl/>
        <w:shd w:val="clear" w:color="auto" w:fill="FFFFFF"/>
        <w:spacing w:line="330" w:lineRule="atLeast"/>
        <w:rPr>
          <w:rFonts w:ascii="宋体" w:hAnsi="宋体" w:eastAsia="宋体" w:cs="宋体"/>
          <w:color w:val="464646"/>
          <w:kern w:val="0"/>
          <w:szCs w:val="21"/>
        </w:rPr>
      </w:pPr>
    </w:p>
    <w:p>
      <w:pPr>
        <w:pStyle w:val="2"/>
        <w:jc w:val="center"/>
        <w:rPr>
          <w:sz w:val="36"/>
          <w:szCs w:val="36"/>
        </w:rPr>
      </w:pPr>
      <w:bookmarkStart w:id="5" w:name="_Toc496693322"/>
      <w:bookmarkStart w:id="6" w:name="_Toc448387030"/>
      <w:bookmarkStart w:id="7" w:name="_Toc448411639"/>
      <w:r>
        <w:rPr>
          <w:rFonts w:hint="eastAsia"/>
          <w:sz w:val="36"/>
          <w:szCs w:val="36"/>
        </w:rPr>
        <w:t>总</w:t>
      </w:r>
      <w:r>
        <w:rPr>
          <w:sz w:val="36"/>
          <w:szCs w:val="36"/>
        </w:rPr>
        <w:t>经理</w:t>
      </w:r>
      <w:r>
        <w:rPr>
          <w:rFonts w:hint="eastAsia"/>
          <w:sz w:val="36"/>
          <w:szCs w:val="36"/>
        </w:rPr>
        <w:t>致辞</w:t>
      </w:r>
      <w:bookmarkEnd w:id="5"/>
      <w:bookmarkEnd w:id="6"/>
      <w:bookmarkEnd w:id="7"/>
    </w:p>
    <w:p>
      <w:pPr>
        <w:widowControl/>
        <w:shd w:val="clear" w:color="auto" w:fill="FFFFFF"/>
        <w:spacing w:line="330" w:lineRule="atLeast"/>
        <w:ind w:firstLine="560" w:firstLineChars="200"/>
        <w:jc w:val="left"/>
        <w:rPr>
          <w:rFonts w:asciiTheme="minorEastAsia" w:hAnsiTheme="minorEastAsia"/>
          <w:color w:val="000000"/>
          <w:sz w:val="28"/>
          <w:szCs w:val="28"/>
          <w:shd w:val="clear" w:color="auto" w:fill="FFFFFF"/>
        </w:rPr>
      </w:pPr>
      <w:r>
        <w:rPr>
          <w:rFonts w:hint="eastAsia" w:asciiTheme="minorEastAsia" w:hAnsiTheme="minorEastAsia"/>
          <w:color w:val="000000"/>
          <w:sz w:val="28"/>
          <w:szCs w:val="28"/>
          <w:shd w:val="clear" w:color="auto" w:fill="FFFFFF"/>
        </w:rPr>
        <w:t>亲爱的朋友：</w:t>
      </w:r>
    </w:p>
    <w:p>
      <w:pPr>
        <w:widowControl/>
        <w:shd w:val="clear" w:color="auto" w:fill="FFFFFF"/>
        <w:spacing w:line="330" w:lineRule="atLeast"/>
        <w:ind w:firstLine="560" w:firstLineChars="200"/>
        <w:jc w:val="left"/>
        <w:rPr>
          <w:rFonts w:asciiTheme="minorEastAsia" w:hAnsiTheme="minorEastAsia"/>
          <w:color w:val="000000"/>
          <w:sz w:val="28"/>
          <w:szCs w:val="28"/>
          <w:shd w:val="clear" w:color="auto" w:fill="FFFFFF"/>
        </w:rPr>
      </w:pPr>
      <w:r>
        <w:rPr>
          <w:rFonts w:hint="eastAsia" w:asciiTheme="minorEastAsia" w:hAnsiTheme="minorEastAsia"/>
          <w:color w:val="000000"/>
          <w:sz w:val="28"/>
          <w:szCs w:val="28"/>
          <w:shd w:val="clear" w:color="auto" w:fill="FFFFFF"/>
        </w:rPr>
        <w:t>您好！欢迎您获取我公司的质量诚信报告，</w:t>
      </w:r>
      <w:r>
        <w:rPr>
          <w:rFonts w:hint="eastAsia"/>
          <w:sz w:val="28"/>
          <w:szCs w:val="28"/>
          <w:lang w:eastAsia="zh-CN"/>
        </w:rPr>
        <w:t>浙江德联家居股份有限公司</w:t>
      </w:r>
      <w:r>
        <w:rPr>
          <w:rFonts w:asciiTheme="minorEastAsia" w:hAnsiTheme="minorEastAsia"/>
          <w:color w:val="000000"/>
          <w:sz w:val="28"/>
          <w:szCs w:val="28"/>
          <w:shd w:val="clear" w:color="auto" w:fill="FFFFFF"/>
        </w:rPr>
        <w:t>衷心感谢社会各界、广大用户的厚爱、支持与合作！</w:t>
      </w:r>
    </w:p>
    <w:p>
      <w:pPr>
        <w:ind w:firstLine="560" w:firstLineChars="200"/>
        <w:jc w:val="left"/>
        <w:rPr>
          <w:rFonts w:asciiTheme="minorEastAsia" w:hAnsiTheme="minorEastAsia"/>
          <w:color w:val="000000"/>
          <w:sz w:val="28"/>
          <w:szCs w:val="28"/>
          <w:shd w:val="clear" w:color="auto" w:fill="FFFFFF"/>
        </w:rPr>
      </w:pPr>
      <w:r>
        <w:rPr>
          <w:rFonts w:hint="eastAsia"/>
          <w:sz w:val="28"/>
          <w:szCs w:val="28"/>
          <w:lang w:eastAsia="zh-CN"/>
        </w:rPr>
        <w:t>浙江德联家居股份有限公司</w:t>
      </w:r>
      <w:r>
        <w:rPr>
          <w:rFonts w:hint="eastAsia" w:asciiTheme="minorEastAsia" w:hAnsiTheme="minorEastAsia"/>
          <w:color w:val="000000"/>
          <w:sz w:val="28"/>
          <w:szCs w:val="28"/>
          <w:shd w:val="clear" w:color="auto" w:fill="FFFFFF"/>
        </w:rPr>
        <w:t>致力追求“以人为本   成人达己；追求卓越   诚信共赢。”的经营理念，遵循“品质造就品牌”的发展思路，按现代化管理要求，全新的企业形象，灵活的营销方式，规范化的管理体系，便捷的售后服务，与时俱进开拓国内外市场，昂首阔步走向更加辉煌的明天</w:t>
      </w:r>
      <w:r>
        <w:rPr>
          <w:rFonts w:asciiTheme="minorEastAsia" w:hAnsiTheme="minorEastAsia"/>
          <w:color w:val="000000"/>
          <w:sz w:val="28"/>
          <w:szCs w:val="28"/>
          <w:shd w:val="clear" w:color="auto" w:fill="FFFFFF"/>
        </w:rPr>
        <w:t>。</w:t>
      </w:r>
    </w:p>
    <w:p>
      <w:pPr>
        <w:ind w:firstLine="560" w:firstLineChars="200"/>
        <w:jc w:val="left"/>
        <w:rPr>
          <w:rFonts w:asciiTheme="minorEastAsia" w:hAnsiTheme="minorEastAsia"/>
          <w:color w:val="000000"/>
          <w:sz w:val="28"/>
          <w:szCs w:val="28"/>
          <w:shd w:val="clear" w:color="auto" w:fill="FFFFFF"/>
        </w:rPr>
      </w:pPr>
    </w:p>
    <w:p>
      <w:pPr>
        <w:ind w:firstLine="560" w:firstLineChars="200"/>
        <w:jc w:val="left"/>
        <w:rPr>
          <w:rFonts w:hint="eastAsia" w:asciiTheme="minorEastAsia" w:hAnsiTheme="minorEastAsia" w:eastAsiaTheme="minorEastAsia"/>
          <w:color w:val="000000"/>
          <w:sz w:val="28"/>
          <w:szCs w:val="28"/>
          <w:shd w:val="clear" w:color="auto" w:fill="FFFFFF"/>
          <w:lang w:eastAsia="zh-CN"/>
        </w:rPr>
      </w:pPr>
      <w:r>
        <w:rPr>
          <w:rFonts w:hint="eastAsia" w:asciiTheme="minorEastAsia" w:hAnsiTheme="minorEastAsia"/>
          <w:color w:val="000000"/>
          <w:sz w:val="28"/>
          <w:szCs w:val="28"/>
          <w:shd w:val="clear" w:color="auto" w:fill="FFFFFF"/>
        </w:rPr>
        <w:t xml:space="preserve">                                         总</w:t>
      </w:r>
      <w:r>
        <w:rPr>
          <w:rFonts w:asciiTheme="minorEastAsia" w:hAnsiTheme="minorEastAsia"/>
          <w:color w:val="000000"/>
          <w:sz w:val="28"/>
          <w:szCs w:val="28"/>
          <w:shd w:val="clear" w:color="auto" w:fill="FFFFFF"/>
        </w:rPr>
        <w:t>经理：</w:t>
      </w:r>
      <w:r>
        <w:rPr>
          <w:rFonts w:hint="eastAsia" w:asciiTheme="minorEastAsia" w:hAnsiTheme="minorEastAsia"/>
          <w:color w:val="000000"/>
          <w:sz w:val="28"/>
          <w:szCs w:val="28"/>
          <w:shd w:val="clear" w:color="auto" w:fill="FFFFFF"/>
        </w:rPr>
        <w:t xml:space="preserve"> </w:t>
      </w:r>
      <w:r>
        <w:rPr>
          <w:rFonts w:hint="eastAsia" w:asciiTheme="minorEastAsia" w:hAnsiTheme="minorEastAsia"/>
          <w:color w:val="000000"/>
          <w:sz w:val="28"/>
          <w:szCs w:val="28"/>
          <w:shd w:val="clear" w:color="auto" w:fill="FFFFFF"/>
          <w:lang w:eastAsia="zh-CN"/>
        </w:rPr>
        <w:t>杨容</w:t>
      </w: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color w:val="000000"/>
          <w:sz w:val="28"/>
          <w:szCs w:val="28"/>
          <w:shd w:val="clear" w:color="auto" w:fill="FFFFFF"/>
        </w:rPr>
      </w:pPr>
    </w:p>
    <w:p>
      <w:pPr>
        <w:jc w:val="left"/>
        <w:rPr>
          <w:rFonts w:asciiTheme="minorEastAsia" w:hAnsiTheme="minorEastAsia"/>
          <w:sz w:val="28"/>
          <w:szCs w:val="28"/>
        </w:rPr>
      </w:pPr>
    </w:p>
    <w:p>
      <w:pPr>
        <w:pStyle w:val="2"/>
        <w:jc w:val="center"/>
        <w:rPr>
          <w:rFonts w:hint="eastAsia" w:asciiTheme="minorHAnsi" w:hAnsiTheme="minorHAnsi" w:eastAsiaTheme="minorEastAsia" w:cstheme="minorBidi"/>
          <w:b w:val="0"/>
          <w:bCs w:val="0"/>
          <w:kern w:val="2"/>
          <w:sz w:val="28"/>
          <w:szCs w:val="28"/>
          <w:lang w:val="en-US" w:eastAsia="zh-CN" w:bidi="ar-SA"/>
        </w:rPr>
      </w:pPr>
      <w:bookmarkStart w:id="8" w:name="_Toc448411640"/>
      <w:bookmarkStart w:id="9" w:name="_Toc448387031"/>
      <w:bookmarkStart w:id="10" w:name="_Toc496693323"/>
      <w:r>
        <w:rPr>
          <w:rFonts w:hint="eastAsia" w:asciiTheme="minorHAnsi" w:hAnsiTheme="minorHAnsi" w:eastAsiaTheme="minorEastAsia" w:cstheme="minorBidi"/>
          <w:b w:val="0"/>
          <w:bCs w:val="0"/>
          <w:kern w:val="2"/>
          <w:sz w:val="28"/>
          <w:szCs w:val="28"/>
          <w:lang w:val="en-US" w:eastAsia="zh-CN" w:bidi="ar-SA"/>
        </w:rPr>
        <w:t>企业简介</w:t>
      </w:r>
      <w:bookmarkEnd w:id="8"/>
      <w:bookmarkEnd w:id="9"/>
      <w:bookmarkEnd w:id="10"/>
    </w:p>
    <w:p>
      <w:pPr>
        <w:spacing w:before="423" w:line="219" w:lineRule="exact"/>
        <w:ind w:left="420"/>
        <w:rPr>
          <w:rFonts w:hAnsi="Calibri"/>
          <w:color w:val="000000"/>
          <w:sz w:val="21"/>
          <w:szCs w:val="22"/>
          <w:lang w:val="en-US" w:eastAsia="en-US" w:bidi="ar-SA"/>
        </w:rPr>
      </w:pPr>
      <w:r>
        <w:rPr>
          <w:rFonts w:ascii="宋体" w:hAnsi="宋体" w:cs="宋体"/>
          <w:color w:val="000000"/>
          <w:spacing w:val="2"/>
          <w:sz w:val="21"/>
          <w:szCs w:val="22"/>
          <w:lang w:val="en-US" w:eastAsia="en-US" w:bidi="ar-SA"/>
        </w:rPr>
        <w:t>浙江德联家居股份有限公司，是一个专注于研发、生产和销售为一体的木地板企业，坐落于中国木地</w:t>
      </w:r>
    </w:p>
    <w:p>
      <w:pPr>
        <w:spacing w:before="249" w:line="219" w:lineRule="exact"/>
        <w:rPr>
          <w:rFonts w:hAnsi="Calibri"/>
          <w:color w:val="000000"/>
          <w:sz w:val="21"/>
          <w:szCs w:val="22"/>
          <w:lang w:val="en-US" w:eastAsia="en-US" w:bidi="ar-SA"/>
        </w:rPr>
      </w:pPr>
      <w:r>
        <w:rPr>
          <w:rFonts w:ascii="宋体" w:hAnsi="宋体" w:cs="宋体"/>
          <w:color w:val="000000"/>
          <w:spacing w:val="-1"/>
          <w:sz w:val="21"/>
          <w:szCs w:val="22"/>
          <w:lang w:val="en-US" w:eastAsia="en-US" w:bidi="ar-SA"/>
        </w:rPr>
        <w:t>板之都——南浔，拥有</w:t>
      </w:r>
      <w:r>
        <w:rPr>
          <w:rFonts w:hAnsi="Calibri"/>
          <w:color w:val="000000"/>
          <w:sz w:val="21"/>
          <w:szCs w:val="22"/>
          <w:lang w:val="en-US" w:eastAsia="en-US" w:bidi="ar-SA"/>
        </w:rPr>
        <w:t xml:space="preserve"> </w:t>
      </w:r>
      <w:r>
        <w:rPr>
          <w:rFonts w:ascii="宋体" w:hAnsi="Calibri"/>
          <w:color w:val="000000"/>
          <w:sz w:val="21"/>
          <w:szCs w:val="22"/>
          <w:lang w:val="en-US" w:eastAsia="en-US" w:bidi="ar-SA"/>
        </w:rPr>
        <w:t>45000</w:t>
      </w:r>
      <w:r>
        <w:rPr>
          <w:rFonts w:hAnsi="Calibri"/>
          <w:color w:val="000000"/>
          <w:spacing w:val="1"/>
          <w:sz w:val="21"/>
          <w:szCs w:val="22"/>
          <w:lang w:val="en-US" w:eastAsia="en-US" w:bidi="ar-SA"/>
        </w:rPr>
        <w:t xml:space="preserve"> </w:t>
      </w:r>
      <w:r>
        <w:rPr>
          <w:rFonts w:ascii="宋体" w:hAnsi="宋体" w:cs="宋体"/>
          <w:color w:val="000000"/>
          <w:sz w:val="21"/>
          <w:szCs w:val="22"/>
          <w:lang w:val="en-US" w:eastAsia="en-US" w:bidi="ar-SA"/>
        </w:rPr>
        <w:t>平方米的标准生产基地，体系完善的现代化办公环境以及</w:t>
      </w:r>
      <w:r>
        <w:rPr>
          <w:rFonts w:hAnsi="Calibri"/>
          <w:color w:val="000000"/>
          <w:sz w:val="21"/>
          <w:szCs w:val="22"/>
          <w:lang w:val="en-US" w:eastAsia="en-US" w:bidi="ar-SA"/>
        </w:rPr>
        <w:t xml:space="preserve"> </w:t>
      </w:r>
      <w:r>
        <w:rPr>
          <w:rFonts w:ascii="宋体" w:hAnsi="Calibri"/>
          <w:color w:val="000000"/>
          <w:sz w:val="21"/>
          <w:szCs w:val="22"/>
          <w:lang w:val="en-US" w:eastAsia="en-US" w:bidi="ar-SA"/>
        </w:rPr>
        <w:t>2</w:t>
      </w:r>
      <w:r>
        <w:rPr>
          <w:rFonts w:hAnsi="Calibri"/>
          <w:color w:val="000000"/>
          <w:spacing w:val="1"/>
          <w:sz w:val="21"/>
          <w:szCs w:val="22"/>
          <w:lang w:val="en-US" w:eastAsia="en-US" w:bidi="ar-SA"/>
        </w:rPr>
        <w:t xml:space="preserve"> </w:t>
      </w:r>
      <w:r>
        <w:rPr>
          <w:rFonts w:ascii="宋体" w:hAnsi="宋体" w:cs="宋体"/>
          <w:color w:val="000000"/>
          <w:spacing w:val="1"/>
          <w:sz w:val="21"/>
          <w:szCs w:val="22"/>
          <w:lang w:val="en-US" w:eastAsia="en-US" w:bidi="ar-SA"/>
        </w:rPr>
        <w:t>个超</w:t>
      </w:r>
      <w:r>
        <w:rPr>
          <w:rFonts w:hAnsi="Calibri"/>
          <w:color w:val="000000"/>
          <w:spacing w:val="-2"/>
          <w:sz w:val="21"/>
          <w:szCs w:val="22"/>
          <w:lang w:val="en-US" w:eastAsia="en-US" w:bidi="ar-SA"/>
        </w:rPr>
        <w:t xml:space="preserve"> </w:t>
      </w:r>
      <w:r>
        <w:rPr>
          <w:rFonts w:ascii="宋体" w:hAnsi="Calibri"/>
          <w:color w:val="000000"/>
          <w:spacing w:val="1"/>
          <w:sz w:val="21"/>
          <w:szCs w:val="22"/>
          <w:lang w:val="en-US" w:eastAsia="en-US" w:bidi="ar-SA"/>
        </w:rPr>
        <w:t>3000</w:t>
      </w:r>
      <w:r>
        <w:rPr>
          <w:rFonts w:hAnsi="Calibri"/>
          <w:color w:val="000000"/>
          <w:spacing w:val="-2"/>
          <w:sz w:val="21"/>
          <w:szCs w:val="22"/>
          <w:lang w:val="en-US" w:eastAsia="en-US" w:bidi="ar-SA"/>
        </w:rPr>
        <w:t xml:space="preserve"> </w:t>
      </w:r>
      <w:r>
        <w:rPr>
          <w:rFonts w:ascii="宋体" w:hAnsi="宋体" w:cs="宋体"/>
          <w:color w:val="000000"/>
          <w:sz w:val="21"/>
          <w:szCs w:val="22"/>
          <w:lang w:val="en-US" w:eastAsia="en-US" w:bidi="ar-SA"/>
        </w:rPr>
        <w:t>平的实</w:t>
      </w:r>
    </w:p>
    <w:p>
      <w:pPr>
        <w:spacing w:before="249"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体形象展厅。</w:t>
      </w:r>
    </w:p>
    <w:p>
      <w:pPr>
        <w:spacing w:before="249" w:line="219" w:lineRule="exact"/>
        <w:ind w:left="420"/>
        <w:rPr>
          <w:rFonts w:hAnsi="Calibri"/>
          <w:color w:val="000000"/>
          <w:sz w:val="21"/>
          <w:szCs w:val="22"/>
          <w:lang w:val="en-US" w:eastAsia="en-US" w:bidi="ar-SA"/>
        </w:rPr>
      </w:pPr>
      <w:r>
        <w:rPr>
          <w:rFonts w:ascii="宋体" w:hAnsi="宋体" w:cs="宋体"/>
          <w:color w:val="000000"/>
          <w:spacing w:val="2"/>
          <w:sz w:val="21"/>
          <w:szCs w:val="22"/>
          <w:lang w:val="en-US" w:eastAsia="en-US" w:bidi="ar-SA"/>
        </w:rPr>
        <w:t>十余年的生产经验，让德联家居可以从容地创建自主品牌——领华地板，从事实木地板、实木复合地</w:t>
      </w:r>
    </w:p>
    <w:p>
      <w:pPr>
        <w:spacing w:before="249"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板、强化地板、拼花地板等全品类产品的研发与生产。在产品开发上，领华地板不断卓越进取，吸收新元</w:t>
      </w:r>
    </w:p>
    <w:p>
      <w:pPr>
        <w:spacing w:before="249" w:line="219" w:lineRule="exact"/>
        <w:rPr>
          <w:rFonts w:hAnsi="Calibri"/>
          <w:color w:val="000000"/>
          <w:sz w:val="21"/>
          <w:szCs w:val="22"/>
          <w:lang w:val="en-US" w:eastAsia="en-US" w:bidi="ar-SA"/>
        </w:rPr>
      </w:pPr>
      <w:r>
        <w:rPr>
          <w:rFonts w:ascii="宋体" w:hAnsi="宋体" w:cs="宋体"/>
          <w:color w:val="000000"/>
          <w:spacing w:val="2"/>
          <w:sz w:val="21"/>
          <w:szCs w:val="22"/>
          <w:lang w:val="en-US" w:eastAsia="en-US" w:bidi="ar-SA"/>
        </w:rPr>
        <w:t>素，开发吻合行业发展与潮流消费趋势的创新型产品——其中实木地热地板，以精准的智能平衡技术、锁</w:t>
      </w:r>
    </w:p>
    <w:p>
      <w:pPr>
        <w:spacing w:before="249"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扣连接技术实现了在地采暖环境使用，让更多的家庭可以体验到更舒适、更健康的生活。</w:t>
      </w:r>
    </w:p>
    <w:p>
      <w:pPr>
        <w:spacing w:before="249" w:line="219" w:lineRule="exact"/>
        <w:ind w:left="420"/>
        <w:rPr>
          <w:rFonts w:hAnsi="Calibri"/>
          <w:color w:val="000000"/>
          <w:sz w:val="21"/>
          <w:szCs w:val="22"/>
          <w:lang w:val="en-US" w:eastAsia="en-US" w:bidi="ar-SA"/>
        </w:rPr>
      </w:pPr>
      <w:r>
        <w:rPr>
          <w:rFonts w:ascii="宋体" w:hAnsi="宋体" w:cs="宋体"/>
          <w:color w:val="000000"/>
          <w:spacing w:val="1"/>
          <w:sz w:val="21"/>
          <w:szCs w:val="22"/>
          <w:lang w:val="en-US" w:eastAsia="en-US" w:bidi="ar-SA"/>
        </w:rPr>
        <w:t>掌控资源，才能掌控未来。2018</w:t>
      </w:r>
      <w:r>
        <w:rPr>
          <w:rFonts w:hAnsi="Calibri"/>
          <w:color w:val="000000"/>
          <w:sz w:val="21"/>
          <w:szCs w:val="22"/>
          <w:lang w:val="en-US" w:eastAsia="en-US" w:bidi="ar-SA"/>
        </w:rPr>
        <w:t xml:space="preserve"> </w:t>
      </w:r>
      <w:r>
        <w:rPr>
          <w:rFonts w:ascii="宋体" w:hAnsi="宋体" w:cs="宋体"/>
          <w:color w:val="000000"/>
          <w:spacing w:val="1"/>
          <w:sz w:val="21"/>
          <w:szCs w:val="22"/>
          <w:lang w:val="en-US" w:eastAsia="en-US" w:bidi="ar-SA"/>
        </w:rPr>
        <w:t>年，德联家居开始着手创建</w:t>
      </w:r>
      <w:r>
        <w:rPr>
          <w:rFonts w:hAnsi="Calibri"/>
          <w:color w:val="000000"/>
          <w:spacing w:val="-2"/>
          <w:sz w:val="21"/>
          <w:szCs w:val="22"/>
          <w:lang w:val="en-US" w:eastAsia="en-US" w:bidi="ar-SA"/>
        </w:rPr>
        <w:t xml:space="preserve"> </w:t>
      </w:r>
      <w:r>
        <w:rPr>
          <w:rFonts w:ascii="宋体" w:hAnsi="Calibri"/>
          <w:color w:val="000000"/>
          <w:sz w:val="21"/>
          <w:szCs w:val="22"/>
          <w:lang w:val="en-US" w:eastAsia="en-US" w:bidi="ar-SA"/>
        </w:rPr>
        <w:t>Leadfar</w:t>
      </w:r>
      <w:r>
        <w:rPr>
          <w:rFonts w:hAnsi="Calibri"/>
          <w:color w:val="000000"/>
          <w:spacing w:val="1"/>
          <w:sz w:val="21"/>
          <w:szCs w:val="22"/>
          <w:lang w:val="en-US" w:eastAsia="en-US" w:bidi="ar-SA"/>
        </w:rPr>
        <w:t xml:space="preserve"> </w:t>
      </w:r>
      <w:r>
        <w:rPr>
          <w:rFonts w:ascii="宋体" w:hAnsi="宋体" w:cs="宋体"/>
          <w:color w:val="000000"/>
          <w:spacing w:val="1"/>
          <w:sz w:val="21"/>
          <w:szCs w:val="22"/>
          <w:lang w:val="en-US" w:eastAsia="en-US" w:bidi="ar-SA"/>
        </w:rPr>
        <w:t>国际地材中心。这是一种地材的</w:t>
      </w:r>
    </w:p>
    <w:p>
      <w:pPr>
        <w:spacing w:before="249" w:line="219" w:lineRule="exact"/>
        <w:rPr>
          <w:rFonts w:hAnsi="Calibri"/>
          <w:color w:val="000000"/>
          <w:sz w:val="21"/>
          <w:szCs w:val="22"/>
          <w:lang w:val="en-US" w:eastAsia="en-US" w:bidi="ar-SA"/>
        </w:rPr>
      </w:pPr>
      <w:r>
        <w:rPr>
          <w:rFonts w:ascii="宋体" w:hAnsi="宋体" w:cs="宋体"/>
          <w:color w:val="000000"/>
          <w:spacing w:val="1"/>
          <w:sz w:val="21"/>
          <w:szCs w:val="22"/>
          <w:lang w:val="en-US" w:eastAsia="en-US" w:bidi="ar-SA"/>
        </w:rPr>
        <w:t>渠道运营模式，它采集并整合了进口地板、木地板、软木地板、PVC、WPC</w:t>
      </w:r>
      <w:r>
        <w:rPr>
          <w:rFonts w:hAnsi="Calibri"/>
          <w:color w:val="000000"/>
          <w:sz w:val="21"/>
          <w:szCs w:val="22"/>
          <w:lang w:val="en-US" w:eastAsia="en-US" w:bidi="ar-SA"/>
        </w:rPr>
        <w:t xml:space="preserve"> </w:t>
      </w:r>
      <w:r>
        <w:rPr>
          <w:rFonts w:ascii="宋体" w:hAnsi="宋体" w:cs="宋体"/>
          <w:color w:val="000000"/>
          <w:spacing w:val="1"/>
          <w:sz w:val="21"/>
          <w:szCs w:val="22"/>
          <w:lang w:val="en-US" w:eastAsia="en-US" w:bidi="ar-SA"/>
        </w:rPr>
        <w:t>等多材质的地面装饰材料，是一</w:t>
      </w:r>
    </w:p>
    <w:p>
      <w:pPr>
        <w:spacing w:before="249" w:line="219" w:lineRule="exact"/>
        <w:rPr>
          <w:rFonts w:hAnsi="Calibri"/>
          <w:color w:val="000000"/>
          <w:sz w:val="21"/>
          <w:szCs w:val="22"/>
          <w:lang w:val="en-US" w:eastAsia="en-US" w:bidi="ar-SA"/>
        </w:rPr>
      </w:pPr>
      <w:r>
        <w:rPr>
          <w:rFonts w:ascii="宋体" w:hAnsi="宋体" w:cs="宋体"/>
          <w:color w:val="000000"/>
          <w:spacing w:val="-1"/>
          <w:sz w:val="21"/>
          <w:szCs w:val="22"/>
          <w:lang w:val="en-US" w:eastAsia="en-US" w:bidi="ar-SA"/>
        </w:rPr>
        <w:t>个讲究产业链互通的采供平台。随着营销推广的展开，Leadfar</w:t>
      </w:r>
      <w:r>
        <w:rPr>
          <w:rFonts w:hAnsi="Calibri"/>
          <w:color w:val="000000"/>
          <w:sz w:val="21"/>
          <w:szCs w:val="22"/>
          <w:lang w:val="en-US" w:eastAsia="en-US" w:bidi="ar-SA"/>
        </w:rPr>
        <w:t xml:space="preserve"> </w:t>
      </w:r>
      <w:r>
        <w:rPr>
          <w:rFonts w:ascii="宋体" w:hAnsi="宋体" w:cs="宋体"/>
          <w:color w:val="000000"/>
          <w:spacing w:val="-1"/>
          <w:sz w:val="21"/>
          <w:szCs w:val="22"/>
          <w:lang w:val="en-US" w:eastAsia="en-US" w:bidi="ar-SA"/>
        </w:rPr>
        <w:t>国际地材中心在线下网点布局、营销服务体</w:t>
      </w:r>
    </w:p>
    <w:p>
      <w:pPr>
        <w:spacing w:before="249"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系建立等方面取得了不错的成效。</w:t>
      </w:r>
    </w:p>
    <w:p>
      <w:pPr>
        <w:spacing w:before="249" w:line="219" w:lineRule="exact"/>
        <w:ind w:left="420"/>
        <w:rPr>
          <w:rFonts w:hAnsi="Calibri"/>
          <w:color w:val="000000"/>
          <w:sz w:val="21"/>
          <w:szCs w:val="22"/>
          <w:lang w:val="en-US" w:eastAsia="en-US" w:bidi="ar-SA"/>
        </w:rPr>
      </w:pPr>
      <w:r>
        <w:rPr>
          <w:rFonts w:ascii="宋体" w:hAnsi="宋体" w:cs="宋体"/>
          <w:color w:val="000000"/>
          <w:spacing w:val="-4"/>
          <w:sz w:val="21"/>
          <w:szCs w:val="22"/>
          <w:lang w:val="en-US" w:eastAsia="en-US" w:bidi="ar-SA"/>
        </w:rPr>
        <w:t>德联家居是一个具备研发生产实力，与渠道整合实力的大型地板企业。在过去先后通过了</w:t>
      </w:r>
      <w:r>
        <w:rPr>
          <w:rFonts w:hAnsi="Calibri"/>
          <w:color w:val="000000"/>
          <w:spacing w:val="1"/>
          <w:sz w:val="21"/>
          <w:szCs w:val="22"/>
          <w:lang w:val="en-US" w:eastAsia="en-US" w:bidi="ar-SA"/>
        </w:rPr>
        <w:t xml:space="preserve"> </w:t>
      </w:r>
      <w:r>
        <w:rPr>
          <w:rFonts w:ascii="宋体" w:hAnsi="Calibri"/>
          <w:color w:val="000000"/>
          <w:sz w:val="21"/>
          <w:szCs w:val="22"/>
          <w:lang w:val="en-US" w:eastAsia="en-US" w:bidi="ar-SA"/>
        </w:rPr>
        <w:t>ISO9001-2016</w:t>
      </w:r>
    </w:p>
    <w:p>
      <w:pPr>
        <w:spacing w:before="249" w:line="219" w:lineRule="exact"/>
        <w:rPr>
          <w:rFonts w:hAnsi="Calibri"/>
          <w:color w:val="000000"/>
          <w:sz w:val="21"/>
          <w:szCs w:val="22"/>
          <w:lang w:val="en-US" w:eastAsia="en-US" w:bidi="ar-SA"/>
        </w:rPr>
      </w:pPr>
      <w:r>
        <w:rPr>
          <w:rFonts w:ascii="宋体" w:hAnsi="宋体" w:cs="宋体"/>
          <w:color w:val="000000"/>
          <w:spacing w:val="-1"/>
          <w:sz w:val="21"/>
          <w:szCs w:val="22"/>
          <w:lang w:val="en-US" w:eastAsia="en-US" w:bidi="ar-SA"/>
        </w:rPr>
        <w:t>质量管理体系认证、ISO14001:2015</w:t>
      </w:r>
      <w:r>
        <w:rPr>
          <w:rFonts w:hAnsi="Calibri"/>
          <w:color w:val="000000"/>
          <w:spacing w:val="2"/>
          <w:sz w:val="21"/>
          <w:szCs w:val="22"/>
          <w:lang w:val="en-US" w:eastAsia="en-US" w:bidi="ar-SA"/>
        </w:rPr>
        <w:t xml:space="preserve"> </w:t>
      </w:r>
      <w:r>
        <w:rPr>
          <w:rFonts w:ascii="宋体" w:hAnsi="宋体" w:cs="宋体"/>
          <w:color w:val="000000"/>
          <w:spacing w:val="-1"/>
          <w:sz w:val="21"/>
          <w:szCs w:val="22"/>
          <w:lang w:val="en-US" w:eastAsia="en-US" w:bidi="ar-SA"/>
        </w:rPr>
        <w:t>环境管理体系认证，拥有多项木地板国家专利，被多次评为浙江省消费</w:t>
      </w:r>
    </w:p>
    <w:p>
      <w:pPr>
        <w:spacing w:before="249"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者满意品牌单位、质量服务信誉</w:t>
      </w:r>
      <w:r>
        <w:rPr>
          <w:rFonts w:hAnsi="Calibri"/>
          <w:color w:val="000000"/>
          <w:spacing w:val="2"/>
          <w:sz w:val="21"/>
          <w:szCs w:val="22"/>
          <w:lang w:val="en-US" w:eastAsia="en-US" w:bidi="ar-SA"/>
        </w:rPr>
        <w:t xml:space="preserve"> </w:t>
      </w:r>
      <w:r>
        <w:rPr>
          <w:rFonts w:ascii="宋体" w:hAnsi="Calibri"/>
          <w:color w:val="000000"/>
          <w:spacing w:val="1"/>
          <w:sz w:val="21"/>
          <w:szCs w:val="22"/>
          <w:lang w:val="en-US" w:eastAsia="en-US" w:bidi="ar-SA"/>
        </w:rPr>
        <w:t>AAA</w:t>
      </w:r>
      <w:r>
        <w:rPr>
          <w:rFonts w:hAnsi="Calibri"/>
          <w:color w:val="000000"/>
          <w:spacing w:val="-2"/>
          <w:sz w:val="21"/>
          <w:szCs w:val="22"/>
          <w:lang w:val="en-US" w:eastAsia="en-US" w:bidi="ar-SA"/>
        </w:rPr>
        <w:t xml:space="preserve"> </w:t>
      </w:r>
      <w:r>
        <w:rPr>
          <w:rFonts w:ascii="宋体" w:hAnsi="宋体" w:cs="宋体"/>
          <w:color w:val="000000"/>
          <w:sz w:val="21"/>
          <w:szCs w:val="22"/>
          <w:lang w:val="en-US" w:eastAsia="en-US" w:bidi="ar-SA"/>
        </w:rPr>
        <w:t>单位、中国地热地板领军品牌、中国地板优秀供应商等。</w:t>
      </w:r>
    </w:p>
    <w:p>
      <w:pPr>
        <w:spacing w:before="249" w:line="219" w:lineRule="exact"/>
        <w:ind w:left="420"/>
        <w:rPr>
          <w:rFonts w:hAnsi="Calibri"/>
          <w:color w:val="000000"/>
          <w:sz w:val="21"/>
          <w:szCs w:val="22"/>
          <w:lang w:val="en-US" w:eastAsia="en-US" w:bidi="ar-SA"/>
        </w:rPr>
      </w:pPr>
      <w:r>
        <w:rPr>
          <w:rFonts w:ascii="宋体" w:hAnsi="宋体" w:cs="宋体"/>
          <w:color w:val="000000"/>
          <w:spacing w:val="2"/>
          <w:sz w:val="21"/>
          <w:szCs w:val="22"/>
          <w:lang w:val="en-US" w:eastAsia="en-US" w:bidi="ar-SA"/>
        </w:rPr>
        <w:t>未来，德联家居将联合旗下领华地板、领华国际地材中心为消费者提供更全面，更优质的风尚产品与</w:t>
      </w:r>
    </w:p>
    <w:p>
      <w:pPr>
        <w:spacing w:before="249" w:line="219" w:lineRule="exact"/>
        <w:rPr>
          <w:rFonts w:hAnsi="Calibri"/>
          <w:color w:val="000000"/>
          <w:sz w:val="21"/>
          <w:szCs w:val="22"/>
          <w:lang w:val="en-US" w:eastAsia="en-US" w:bidi="ar-SA"/>
        </w:rPr>
      </w:pPr>
      <w:r>
        <w:rPr>
          <w:rFonts w:ascii="宋体" w:hAnsi="宋体" w:cs="宋体"/>
          <w:color w:val="000000"/>
          <w:sz w:val="21"/>
          <w:szCs w:val="22"/>
          <w:lang w:val="en-US" w:eastAsia="en-US" w:bidi="ar-SA"/>
        </w:rPr>
        <w:t>服务，真正地引领家居潮流！</w:t>
      </w:r>
    </w:p>
    <w:p>
      <w:pPr>
        <w:ind w:firstLine="420" w:firstLineChars="200"/>
        <w:rPr>
          <w:rFonts w:hint="eastAsia"/>
          <w:szCs w:val="21"/>
          <w:lang w:val="en-US" w:eastAsia="zh-CN"/>
        </w:rPr>
      </w:pPr>
    </w:p>
    <w:p>
      <w:pPr>
        <w:ind w:firstLine="420" w:firstLineChars="200"/>
        <w:rPr>
          <w:rFonts w:hint="eastAsia"/>
          <w:szCs w:val="21"/>
          <w:lang w:val="en-US" w:eastAsia="zh-CN"/>
        </w:rPr>
      </w:pPr>
    </w:p>
    <w:p>
      <w:pPr>
        <w:ind w:firstLine="420" w:firstLineChars="200"/>
        <w:rPr>
          <w:rFonts w:hint="default"/>
          <w:szCs w:val="21"/>
          <w:lang w:val="en-US" w:eastAsia="zh-CN"/>
        </w:rPr>
      </w:pPr>
    </w:p>
    <w:p>
      <w:pPr>
        <w:ind w:firstLine="420" w:firstLineChars="200"/>
        <w:rPr>
          <w:rFonts w:hint="eastAsia" w:eastAsiaTheme="minorEastAsia"/>
          <w:szCs w:val="21"/>
          <w:lang w:eastAsia="zh-CN"/>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rPr>
          <w:szCs w:val="21"/>
        </w:rPr>
      </w:pPr>
    </w:p>
    <w:p>
      <w:pPr>
        <w:pStyle w:val="2"/>
      </w:pPr>
      <w:bookmarkStart w:id="11" w:name="_Toc496693324"/>
      <w:bookmarkStart w:id="12" w:name="_Toc448411641"/>
      <w:r>
        <w:rPr>
          <w:rFonts w:hint="eastAsia"/>
        </w:rPr>
        <w:t>第</w:t>
      </w:r>
      <w:r>
        <w:t>二</w:t>
      </w:r>
      <w:r>
        <w:rPr>
          <w:rFonts w:hint="eastAsia"/>
        </w:rPr>
        <w:t>章企业质</w:t>
      </w:r>
      <w:r>
        <w:t>量</w:t>
      </w:r>
      <w:r>
        <w:rPr>
          <w:rFonts w:hint="eastAsia"/>
        </w:rPr>
        <w:t>管</w:t>
      </w:r>
      <w:r>
        <w:t>理</w:t>
      </w:r>
      <w:bookmarkEnd w:id="11"/>
      <w:bookmarkEnd w:id="12"/>
    </w:p>
    <w:p>
      <w:pPr>
        <w:pStyle w:val="2"/>
        <w:rPr>
          <w:sz w:val="28"/>
          <w:szCs w:val="28"/>
        </w:rPr>
      </w:pPr>
      <w:bookmarkStart w:id="13" w:name="_Toc448411642"/>
      <w:bookmarkStart w:id="14" w:name="_Toc496693325"/>
      <w:r>
        <w:rPr>
          <w:rFonts w:hint="eastAsia"/>
          <w:sz w:val="28"/>
          <w:szCs w:val="28"/>
        </w:rPr>
        <w:t>1、企业质量理念</w:t>
      </w:r>
      <w:bookmarkEnd w:id="13"/>
      <w:bookmarkEnd w:id="14"/>
    </w:p>
    <w:p>
      <w:pPr>
        <w:ind w:firstLine="560" w:firstLineChars="200"/>
        <w:jc w:val="left"/>
        <w:rPr>
          <w:sz w:val="28"/>
          <w:szCs w:val="28"/>
        </w:rPr>
      </w:pPr>
      <w:r>
        <w:rPr>
          <w:rFonts w:hint="eastAsia"/>
          <w:sz w:val="28"/>
          <w:szCs w:val="28"/>
        </w:rPr>
        <w:t xml:space="preserve">企业精神: </w:t>
      </w:r>
      <w:r>
        <w:rPr>
          <w:rFonts w:hint="eastAsia"/>
          <w:sz w:val="28"/>
          <w:szCs w:val="28"/>
          <w:lang w:val="en-US" w:eastAsia="zh-CN"/>
        </w:rPr>
        <w:t>团结和谐 励志务实 创新提升 止于至善</w:t>
      </w:r>
      <w:r>
        <w:rPr>
          <w:rFonts w:hint="eastAsia"/>
          <w:sz w:val="28"/>
          <w:szCs w:val="28"/>
        </w:rPr>
        <w:t>。</w:t>
      </w:r>
    </w:p>
    <w:p>
      <w:pPr>
        <w:ind w:firstLine="555"/>
        <w:jc w:val="left"/>
        <w:rPr>
          <w:sz w:val="28"/>
          <w:szCs w:val="28"/>
        </w:rPr>
      </w:pPr>
      <w:r>
        <w:rPr>
          <w:rFonts w:hint="eastAsia"/>
          <w:sz w:val="28"/>
          <w:szCs w:val="28"/>
        </w:rPr>
        <w:t>企业质量目标和承诺：以ISO9001标准为依据，视质量为生命，严格控制生产过程质量，保证产品处于国内行业领先水平。</w:t>
      </w:r>
    </w:p>
    <w:p>
      <w:pPr>
        <w:ind w:firstLine="555"/>
        <w:jc w:val="left"/>
        <w:rPr>
          <w:rFonts w:hint="eastAsia"/>
          <w:sz w:val="28"/>
          <w:szCs w:val="28"/>
        </w:rPr>
      </w:pPr>
      <w:r>
        <w:rPr>
          <w:rFonts w:hint="eastAsia"/>
          <w:sz w:val="28"/>
          <w:szCs w:val="28"/>
        </w:rPr>
        <w:t>企业质量方针：精工细作 严检谨测 追求卓越 创造不凡</w:t>
      </w:r>
    </w:p>
    <w:p>
      <w:pPr>
        <w:ind w:firstLine="555"/>
        <w:jc w:val="left"/>
        <w:rPr>
          <w:sz w:val="28"/>
          <w:szCs w:val="28"/>
        </w:rPr>
      </w:pPr>
      <w:r>
        <w:rPr>
          <w:rFonts w:hint="eastAsia"/>
          <w:sz w:val="28"/>
          <w:szCs w:val="28"/>
        </w:rPr>
        <w:t>口号：质量第一、安全第一、我做最好</w:t>
      </w:r>
    </w:p>
    <w:p>
      <w:pPr>
        <w:pStyle w:val="2"/>
        <w:rPr>
          <w:sz w:val="28"/>
          <w:szCs w:val="28"/>
        </w:rPr>
      </w:pPr>
      <w:bookmarkStart w:id="15" w:name="_Toc496693326"/>
      <w:bookmarkStart w:id="16" w:name="_Toc448411643"/>
      <w:r>
        <w:rPr>
          <w:rFonts w:hint="eastAsia"/>
          <w:sz w:val="28"/>
          <w:szCs w:val="28"/>
        </w:rPr>
        <w:t>2、</w:t>
      </w:r>
      <w:r>
        <w:rPr>
          <w:sz w:val="28"/>
          <w:szCs w:val="28"/>
        </w:rPr>
        <w:t>质量管理机构</w:t>
      </w:r>
      <w:bookmarkEnd w:id="15"/>
      <w:bookmarkEnd w:id="16"/>
    </w:p>
    <w:p>
      <w:pPr>
        <w:ind w:firstLine="555"/>
        <w:jc w:val="left"/>
        <w:rPr>
          <w:sz w:val="28"/>
          <w:szCs w:val="28"/>
        </w:rPr>
      </w:pPr>
      <w:r>
        <w:rPr>
          <w:rFonts w:hint="eastAsia"/>
          <w:sz w:val="28"/>
          <w:szCs w:val="28"/>
        </w:rPr>
        <w:t>公司总经理亲自主持以质量为核心的经营战略的调查、研讨和制订，建立与实施经营战略、质量方针相适应的组织机构，配备相应人员并规定其职责、权限和相互关系，确保质量管理体系得到建立和保持，并推动持续改进。质量管理组织机构图如下：</w:t>
      </w: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0" w:lineRule="atLeast"/>
        <w:rPr>
          <w:rFonts w:hint="eastAsia" w:ascii="黑体" w:hAnsi="宋体" w:eastAsia="黑体"/>
          <w:b/>
          <w:color w:val="000000"/>
          <w:sz w:val="36"/>
          <w:szCs w:val="36"/>
        </w:rPr>
      </w:pPr>
    </w:p>
    <w:p>
      <w:pPr>
        <w:spacing w:line="320" w:lineRule="exact"/>
        <w:jc w:val="center"/>
        <w:rPr>
          <w:rFonts w:hint="eastAsia" w:ascii="宋体" w:hAnsi="宋体"/>
          <w:b/>
          <w:color w:val="000000"/>
          <w:sz w:val="36"/>
          <w:szCs w:val="36"/>
        </w:rPr>
      </w:pPr>
      <w:r>
        <w:rPr>
          <w:rFonts w:ascii="宋体" w:hAnsi="宋体"/>
          <w:sz w:val="36"/>
        </w:rPr>
        <w:pict>
          <v:shape id="AutoShape 87" o:spid="_x0000_s1138" o:spt="109" type="#_x0000_t109" style="position:absolute;left:0pt;margin-left:203pt;margin-top:1.4pt;height:31.15pt;width:57.55pt;z-index:251659264;mso-width-relative:page;mso-height-relative:page;" fillcolor="#9CBEE0" filled="t" stroked="t" coordsize="21600,21600">
            <v:path/>
            <v:fill type="gradient" on="t" color2="#BBD5F0" focussize="0f,0f">
              <o:fill type="gradientUnscaled" v:ext="backwardCompatible"/>
            </v:fill>
            <v:stroke weight="1.25pt" color="#739CC3"/>
            <v:imagedata o:title=""/>
            <o:lock v:ext="edit" aspectratio="f"/>
            <v:textbox>
              <w:txbxContent>
                <w:p>
                  <w:pPr>
                    <w:rPr>
                      <w:rFonts w:hint="eastAsia"/>
                    </w:rPr>
                  </w:pPr>
                  <w:r>
                    <w:rPr>
                      <w:rFonts w:hint="eastAsia"/>
                    </w:rPr>
                    <w:t xml:space="preserve"> 总经理</w:t>
                  </w:r>
                </w:p>
              </w:txbxContent>
            </v:textbox>
          </v:shape>
        </w:pict>
      </w:r>
    </w:p>
    <w:p>
      <w:pPr>
        <w:spacing w:line="320" w:lineRule="exact"/>
        <w:jc w:val="center"/>
        <w:rPr>
          <w:rFonts w:hint="eastAsia" w:ascii="宋体" w:hAnsi="宋体"/>
          <w:b/>
          <w:color w:val="000000"/>
          <w:sz w:val="36"/>
          <w:szCs w:val="36"/>
        </w:rPr>
      </w:pPr>
    </w:p>
    <w:p>
      <w:pPr>
        <w:spacing w:line="320" w:lineRule="exact"/>
        <w:jc w:val="center"/>
        <w:rPr>
          <w:rFonts w:hint="eastAsia" w:ascii="宋体" w:hAnsi="宋体"/>
          <w:b/>
          <w:color w:val="000000"/>
          <w:sz w:val="36"/>
          <w:szCs w:val="36"/>
        </w:rPr>
      </w:pPr>
      <w:r>
        <w:rPr>
          <w:rFonts w:ascii="宋体" w:hAnsi="宋体"/>
          <w:sz w:val="36"/>
        </w:rPr>
        <w:pict>
          <v:line id="直线 340" o:spid="_x0000_s1139" o:spt="20" style="position:absolute;left:0pt;margin-left:232.4pt;margin-top:0.35pt;height:81.5pt;width:0.05pt;z-index:251672576;mso-width-relative:page;mso-height-relative:page;" filled="f" stroked="t" coordsize="21600,21600">
            <v:path arrowok="t"/>
            <v:fill on="f" focussize="0,0"/>
            <v:stroke weight="1.25pt" color="#739CC3"/>
            <v:imagedata o:title=""/>
            <o:lock v:ext="edit" aspectratio="f"/>
          </v:line>
        </w:pict>
      </w:r>
      <w:r>
        <w:rPr>
          <w:rFonts w:ascii="宋体" w:hAnsi="宋体"/>
          <w:sz w:val="36"/>
        </w:rPr>
        <w:pict>
          <v:shape id="AutoShape 93" o:spid="_x0000_s1140" o:spt="109" type="#_x0000_t109" style="position:absolute;left:0pt;margin-left:289.6pt;margin-top:14.1pt;height:33.85pt;width:70.05pt;z-index:251660288;mso-width-relative:page;mso-height-relative:page;" fillcolor="#9CBEE0" filled="t" stroked="t" coordsize="21600,21600">
            <v:path/>
            <v:fill type="gradient" on="t" color2="#BBD5F0" focussize="0f,0f">
              <o:fill type="gradientUnscaled" v:ext="backwardCompatible"/>
            </v:fill>
            <v:stroke weight="1.25pt" color="#739CC3"/>
            <v:imagedata o:title=""/>
            <o:lock v:ext="edit" aspectratio="f"/>
            <v:textbox>
              <w:txbxContent>
                <w:p>
                  <w:pPr>
                    <w:rPr>
                      <w:rFonts w:hint="eastAsia"/>
                    </w:rPr>
                  </w:pPr>
                  <w:r>
                    <w:rPr>
                      <w:rFonts w:hint="eastAsia"/>
                    </w:rPr>
                    <w:t>体系推行人</w:t>
                  </w:r>
                </w:p>
              </w:txbxContent>
            </v:textbox>
          </v:shape>
        </w:pict>
      </w:r>
      <w:r>
        <w:rPr>
          <w:rFonts w:ascii="宋体" w:hAnsi="宋体"/>
          <w:sz w:val="36"/>
        </w:rPr>
        <w:pict>
          <v:shape id="_x0000_s1141" o:spid="_x0000_s1141" o:spt="109" type="#_x0000_t109" style="position:absolute;left:0pt;margin-left:85.15pt;margin-top:14.1pt;height:32.35pt;width:86.5pt;z-index:251661312;mso-width-relative:page;mso-height-relative:page;" fillcolor="#9CBEE0" filled="t" stroked="t" coordsize="21600,21600">
            <v:path/>
            <v:fill type="gradient" on="t" color2="#BBD5F0" focussize="0f,0f">
              <o:fill type="gradientUnscaled" v:ext="backwardCompatible"/>
            </v:fill>
            <v:stroke weight="1.25pt" color="#739CC3"/>
            <v:imagedata o:title=""/>
            <o:lock v:ext="edit" aspectratio="f"/>
            <v:textbox>
              <w:txbxContent>
                <w:p>
                  <w:pPr>
                    <w:rPr>
                      <w:rFonts w:hint="eastAsia"/>
                    </w:rPr>
                  </w:pPr>
                  <w:r>
                    <w:rPr>
                      <w:rFonts w:hint="eastAsia"/>
                    </w:rPr>
                    <w:t xml:space="preserve"> 安全事务代表</w:t>
                  </w:r>
                </w:p>
              </w:txbxContent>
            </v:textbox>
          </v:shape>
        </w:pict>
      </w:r>
    </w:p>
    <w:p>
      <w:pPr>
        <w:spacing w:line="320" w:lineRule="exact"/>
        <w:jc w:val="center"/>
        <w:rPr>
          <w:rFonts w:hint="eastAsia" w:ascii="宋体" w:hAnsi="宋体"/>
          <w:b/>
          <w:color w:val="000000"/>
          <w:sz w:val="36"/>
          <w:szCs w:val="36"/>
        </w:rPr>
      </w:pPr>
      <w:r>
        <w:rPr>
          <w:rFonts w:ascii="宋体" w:hAnsi="宋体"/>
          <w:sz w:val="36"/>
        </w:rPr>
        <w:pict>
          <v:line id="直线 275" o:spid="_x0000_s1142" o:spt="20" style="position:absolute;left:0pt;flip:x;margin-left:172.25pt;margin-top:19.7pt;height:0.05pt;width:116.5pt;z-index:251666432;mso-width-relative:page;mso-height-relative:page;" fillcolor="#FFFFFF" filled="t" stroked="t" coordsize="21600,21600">
            <v:path arrowok="t"/>
            <v:fill on="t" focussize="0,0"/>
            <v:stroke weight="1.25pt" color="#739CC3"/>
            <v:imagedata o:title=""/>
            <o:lock v:ext="edit" aspectratio="f"/>
          </v:line>
        </w:pict>
      </w:r>
    </w:p>
    <w:p>
      <w:pPr>
        <w:spacing w:line="320" w:lineRule="exact"/>
        <w:jc w:val="center"/>
        <w:rPr>
          <w:rFonts w:hint="eastAsia" w:ascii="宋体" w:hAnsi="宋体"/>
          <w:b/>
          <w:color w:val="000000"/>
          <w:sz w:val="36"/>
          <w:szCs w:val="36"/>
        </w:rPr>
      </w:pPr>
    </w:p>
    <w:p>
      <w:pPr>
        <w:spacing w:line="320" w:lineRule="exact"/>
        <w:jc w:val="center"/>
        <w:rPr>
          <w:rFonts w:hint="eastAsia" w:ascii="宋体" w:hAnsi="宋体"/>
          <w:b/>
          <w:color w:val="000000"/>
          <w:sz w:val="36"/>
          <w:szCs w:val="36"/>
        </w:rPr>
      </w:pPr>
      <w:bookmarkStart w:id="17" w:name="OLE_LINK17"/>
      <w:r>
        <w:rPr>
          <w:rFonts w:ascii="宋体" w:hAnsi="宋体"/>
          <w:sz w:val="36"/>
        </w:rPr>
        <w:pict>
          <v:line id="直线 269" o:spid="_x0000_s1143" o:spt="20" style="position:absolute;left:0pt;flip:y;margin-left:383.4pt;margin-top:19.4pt;height:20pt;width:0.05pt;z-index:251664384;mso-width-relative:page;mso-height-relative:page;" fillcolor="#FFFFFF" filled="t" stroked="t" coordsize="21600,21600">
            <v:path arrowok="t"/>
            <v:fill on="t" focussize="0,0"/>
            <v:stroke weight="1.25pt" color="#739CC3"/>
            <v:imagedata o:title=""/>
            <o:lock v:ext="edit" aspectratio="f"/>
          </v:line>
        </w:pict>
      </w:r>
      <w:r>
        <w:rPr>
          <w:rFonts w:ascii="宋体" w:hAnsi="宋体"/>
          <w:sz w:val="36"/>
        </w:rPr>
        <w:pict>
          <v:line id="直线 270" o:spid="_x0000_s1144" o:spt="20" style="position:absolute;left:0pt;margin-left:-7.25pt;margin-top:18pt;height:0.05pt;width:389.85pt;z-index:251665408;mso-width-relative:page;mso-height-relative:page;" filled="f" stroked="t" coordsize="21600,21600">
            <v:path arrowok="t"/>
            <v:fill on="f" focussize="0,0"/>
            <v:stroke weight="1.25pt" color="#739CC3"/>
            <v:imagedata o:title=""/>
            <o:lock v:ext="edit" aspectratio="f"/>
          </v:line>
        </w:pict>
      </w:r>
      <w:r>
        <w:rPr>
          <w:rFonts w:ascii="宋体" w:hAnsi="宋体"/>
          <w:sz w:val="36"/>
        </w:rPr>
        <w:pict>
          <v:line id="直线 258" o:spid="_x0000_s1145" o:spt="20" style="position:absolute;left:0pt;flip:y;margin-left:-6.75pt;margin-top:17.4pt;height:20pt;width:0.05pt;z-index:251662336;mso-width-relative:page;mso-height-relative:page;" fillcolor="#FFFFFF" filled="t" stroked="t" coordsize="21600,21600">
            <v:path arrowok="t"/>
            <v:fill on="t" focussize="0,0"/>
            <v:stroke weight="1.25pt" color="#739CC3"/>
            <v:imagedata o:title=""/>
            <o:lock v:ext="edit" aspectratio="f"/>
          </v:line>
        </w:pict>
      </w:r>
      <w:bookmarkEnd w:id="17"/>
    </w:p>
    <w:p>
      <w:pPr>
        <w:spacing w:line="320" w:lineRule="exact"/>
        <w:jc w:val="center"/>
        <w:rPr>
          <w:rFonts w:hint="eastAsia" w:ascii="宋体" w:hAnsi="宋体"/>
          <w:b/>
          <w:color w:val="000000"/>
          <w:sz w:val="36"/>
          <w:szCs w:val="36"/>
        </w:rPr>
      </w:pPr>
      <w:r>
        <w:rPr>
          <w:rFonts w:ascii="宋体" w:hAnsi="宋体"/>
          <w:sz w:val="36"/>
        </w:rPr>
        <w:pict>
          <v:shape id="_x0000_s1146" o:spid="_x0000_s1146" o:spt="109" type="#_x0000_t109" style="position:absolute;left:0pt;margin-left:163.6pt;margin-top:15.25pt;height:85.7pt;width:26.4pt;z-index:251681792;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ascii="宋体" w:hAnsi="宋体"/>
                    </w:rPr>
                  </w:pPr>
                  <w:r>
                    <w:rPr>
                      <w:rFonts w:hint="eastAsia" w:ascii="宋体" w:hAnsi="宋体"/>
                    </w:rPr>
                    <w:t>技术部</w:t>
                  </w:r>
                </w:p>
              </w:txbxContent>
            </v:textbox>
          </v:shape>
        </w:pict>
      </w:r>
      <w:r>
        <w:rPr>
          <w:rFonts w:ascii="宋体" w:hAnsi="宋体"/>
          <w:sz w:val="36"/>
        </w:rPr>
        <w:pict>
          <v:line id="_x0000_s1147" o:spid="_x0000_s1147" o:spt="20" style="position:absolute;left:0pt;flip:y;margin-left:175.95pt;margin-top:2.05pt;height:20pt;width:0.05pt;z-index:251680768;mso-width-relative:page;mso-height-relative:page;" fillcolor="#FFFFFF" filled="t" stroked="t" coordsize="21600,21600">
            <v:path arrowok="t"/>
            <v:fill on="t" focussize="0,0"/>
            <v:stroke weight="1.25pt" color="#739CC3"/>
            <v:imagedata o:title=""/>
            <o:lock v:ext="edit" aspectratio="f"/>
          </v:line>
        </w:pict>
      </w:r>
      <w:r>
        <w:rPr>
          <w:rFonts w:ascii="宋体" w:hAnsi="宋体"/>
          <w:sz w:val="36"/>
        </w:rPr>
        <w:pict>
          <v:shape id="_x0000_s1148" o:spid="_x0000_s1148" o:spt="109" type="#_x0000_t109" style="position:absolute;left:0pt;margin-left:105.6pt;margin-top:14.65pt;height:85.7pt;width:26.4pt;z-index:251679744;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ascii="宋体" w:hAnsi="宋体"/>
                    </w:rPr>
                  </w:pPr>
                  <w:r>
                    <w:rPr>
                      <w:rFonts w:hint="eastAsia" w:ascii="宋体" w:hAnsi="宋体"/>
                    </w:rPr>
                    <w:t>营销部</w:t>
                  </w:r>
                </w:p>
              </w:txbxContent>
            </v:textbox>
          </v:shape>
        </w:pict>
      </w:r>
      <w:r>
        <w:rPr>
          <w:rFonts w:ascii="宋体" w:hAnsi="宋体"/>
          <w:sz w:val="36"/>
        </w:rPr>
        <w:pict>
          <v:line id="_x0000_s1149" o:spid="_x0000_s1149" o:spt="20" style="position:absolute;left:0pt;flip:y;margin-left:117.95pt;margin-top:2.75pt;height:20pt;width:0.05pt;z-index:251678720;mso-width-relative:page;mso-height-relative:page;" fillcolor="#FFFFFF" filled="t" stroked="t" coordsize="21600,21600">
            <v:path arrowok="t"/>
            <v:fill on="t" focussize="0,0"/>
            <v:stroke weight="1.25pt" color="#739CC3"/>
            <v:imagedata o:title=""/>
            <o:lock v:ext="edit" aspectratio="f"/>
          </v:line>
        </w:pict>
      </w:r>
      <w:r>
        <w:rPr>
          <w:rFonts w:ascii="宋体" w:hAnsi="宋体"/>
          <w:sz w:val="36"/>
        </w:rPr>
        <w:pict>
          <v:line id="直线 265" o:spid="_x0000_s1150" o:spt="20" style="position:absolute;left:0pt;flip:y;margin-left:48.25pt;margin-top:1.15pt;height:20pt;width:0.05pt;z-index:251663360;mso-width-relative:page;mso-height-relative:page;" fillcolor="#FFFFFF" filled="t" stroked="t" coordsize="21600,21600">
            <v:path arrowok="t"/>
            <v:fill on="t" focussize="0,0"/>
            <v:stroke weight="1.25pt" color="#739CC3"/>
            <v:imagedata o:title=""/>
            <o:lock v:ext="edit" aspectratio="f"/>
          </v:line>
        </w:pict>
      </w:r>
      <w:r>
        <w:rPr>
          <w:rFonts w:ascii="宋体" w:hAnsi="宋体"/>
          <w:sz w:val="36"/>
        </w:rPr>
        <w:pict>
          <v:shape id="自选图形 331" o:spid="_x0000_s1151" o:spt="109" type="#_x0000_t109" style="position:absolute;left:0pt;margin-left:33.8pt;margin-top:13.05pt;height:61.55pt;width:26.4pt;z-index:251668480;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ascii="宋体" w:hAnsi="宋体"/>
                    </w:rPr>
                  </w:pPr>
                  <w:r>
                    <w:rPr>
                      <w:rFonts w:hint="eastAsia" w:ascii="宋体" w:hAnsi="宋体"/>
                    </w:rPr>
                    <w:t>采购部</w:t>
                  </w:r>
                </w:p>
              </w:txbxContent>
            </v:textbox>
          </v:shape>
        </w:pict>
      </w:r>
      <w:r>
        <w:rPr>
          <w:rFonts w:ascii="宋体" w:hAnsi="宋体"/>
          <w:sz w:val="36"/>
        </w:rPr>
        <w:pict>
          <v:line id="_x0000_s1152" o:spid="_x0000_s1152" o:spt="20" style="position:absolute;left:0pt;flip:y;margin-left:326.6pt;margin-top:3.4pt;height:20pt;width:0.05pt;z-index:251674624;mso-width-relative:page;mso-height-relative:page;" fillcolor="#FFFFFF" filled="t" stroked="t" coordsize="21600,21600">
            <v:path arrowok="t"/>
            <v:fill on="t" focussize="0,0"/>
            <v:stroke weight="1.25pt" color="#739CC3"/>
            <v:imagedata o:title=""/>
            <o:lock v:ext="edit" aspectratio="f"/>
          </v:line>
        </w:pict>
      </w:r>
      <w:r>
        <w:rPr>
          <w:rFonts w:ascii="宋体" w:hAnsi="宋体"/>
          <w:sz w:val="36"/>
        </w:rPr>
        <w:pict>
          <v:shape id="自选图形 318" o:spid="_x0000_s1153" o:spt="109" type="#_x0000_t109" style="position:absolute;left:0pt;margin-left:-18.75pt;margin-top:15.2pt;height:59.4pt;width:26.4pt;z-index:251667456;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ascii="宋体" w:hAnsi="宋体"/>
                    </w:rPr>
                  </w:pPr>
                  <w:r>
                    <w:rPr>
                      <w:rFonts w:hint="eastAsia" w:ascii="宋体" w:hAnsi="宋体"/>
                    </w:rPr>
                    <w:t>行政部</w:t>
                  </w:r>
                </w:p>
              </w:txbxContent>
            </v:textbox>
          </v:shape>
        </w:pict>
      </w:r>
    </w:p>
    <w:p>
      <w:pPr>
        <w:spacing w:line="320" w:lineRule="exact"/>
        <w:jc w:val="center"/>
        <w:rPr>
          <w:rFonts w:hint="eastAsia" w:ascii="宋体" w:hAnsi="宋体"/>
          <w:b/>
          <w:color w:val="000000"/>
          <w:sz w:val="36"/>
          <w:szCs w:val="36"/>
        </w:rPr>
      </w:pPr>
      <w:r>
        <w:rPr>
          <w:rFonts w:ascii="宋体" w:hAnsi="宋体"/>
          <w:sz w:val="36"/>
        </w:rPr>
        <w:pict>
          <v:shape id="_x0000_s1154" o:spid="_x0000_s1154" o:spt="109" type="#_x0000_t109" style="position:absolute;left:0pt;margin-left:314.25pt;margin-top:5.15pt;height:85.7pt;width:26.4pt;z-index:251675648;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ascii="宋体" w:hAnsi="宋体"/>
                    </w:rPr>
                  </w:pPr>
                  <w:r>
                    <w:rPr>
                      <w:rFonts w:hint="eastAsia" w:ascii="宋体" w:hAnsi="宋体"/>
                    </w:rPr>
                    <w:t>品质部</w:t>
                  </w:r>
                </w:p>
              </w:txbxContent>
            </v:textbox>
          </v:shape>
        </w:pict>
      </w:r>
      <w:r>
        <w:rPr>
          <w:rFonts w:ascii="宋体" w:hAnsi="宋体"/>
          <w:sz w:val="36"/>
        </w:rPr>
        <w:pict>
          <v:shape id="自选图形 335" o:spid="_x0000_s1155" o:spt="109" type="#_x0000_t109" style="position:absolute;left:0pt;margin-left:368.75pt;margin-top:0.45pt;height:54.4pt;width:26.4pt;z-index:251670528;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ascii="宋体" w:hAnsi="宋体"/>
                    </w:rPr>
                  </w:pPr>
                  <w:r>
                    <w:rPr>
                      <w:rFonts w:hint="eastAsia" w:ascii="宋体" w:hAnsi="宋体"/>
                    </w:rPr>
                    <w:t>财务部</w:t>
                  </w:r>
                </w:p>
              </w:txbxContent>
            </v:textbox>
          </v:shape>
        </w:pict>
      </w:r>
      <w:r>
        <w:rPr>
          <w:rFonts w:ascii="宋体" w:hAnsi="宋体"/>
          <w:sz w:val="36"/>
        </w:rPr>
        <w:pict>
          <v:shape id="自选图形 333" o:spid="_x0000_s1156" o:spt="109" type="#_x0000_t109" style="position:absolute;left:0pt;margin-left:220.45pt;margin-top:1.5pt;height:64.6pt;width:26.4pt;z-index:251669504;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ascii="宋体" w:hAnsi="宋体"/>
                    </w:rPr>
                  </w:pPr>
                  <w:r>
                    <w:rPr>
                      <w:rFonts w:hint="eastAsia" w:ascii="宋体" w:hAnsi="宋体"/>
                    </w:rPr>
                    <w:t>生产部</w:t>
                  </w:r>
                </w:p>
              </w:txbxContent>
            </v:textbox>
          </v:shape>
        </w:pict>
      </w:r>
    </w:p>
    <w:p>
      <w:pPr>
        <w:spacing w:line="320" w:lineRule="exact"/>
        <w:jc w:val="center"/>
        <w:rPr>
          <w:rFonts w:hint="eastAsia" w:ascii="宋体" w:hAnsi="宋体"/>
          <w:b/>
          <w:color w:val="000000"/>
          <w:sz w:val="36"/>
          <w:szCs w:val="36"/>
        </w:rPr>
      </w:pPr>
      <w:r>
        <w:rPr>
          <w:rFonts w:hint="eastAsia" w:ascii="宋体" w:hAnsi="宋体"/>
          <w:b/>
          <w:color w:val="000000"/>
          <w:sz w:val="36"/>
          <w:szCs w:val="36"/>
        </w:rPr>
        <w:t xml:space="preserve">  </w:t>
      </w:r>
    </w:p>
    <w:p>
      <w:pPr>
        <w:spacing w:line="320" w:lineRule="exact"/>
        <w:jc w:val="center"/>
        <w:rPr>
          <w:rFonts w:hint="eastAsia" w:ascii="宋体" w:hAnsi="宋体"/>
          <w:b/>
          <w:color w:val="000000"/>
          <w:sz w:val="36"/>
          <w:szCs w:val="36"/>
        </w:rPr>
      </w:pPr>
    </w:p>
    <w:p>
      <w:pPr>
        <w:spacing w:line="320" w:lineRule="exact"/>
        <w:jc w:val="center"/>
        <w:rPr>
          <w:rFonts w:hint="eastAsia" w:ascii="宋体" w:hAnsi="宋体"/>
          <w:b/>
          <w:color w:val="000000"/>
          <w:sz w:val="36"/>
          <w:szCs w:val="36"/>
        </w:rPr>
      </w:pPr>
      <w:r>
        <w:rPr>
          <w:rFonts w:hint="eastAsia" w:ascii="宋体" w:hAnsi="宋体"/>
          <w:b/>
          <w:color w:val="000000"/>
          <w:sz w:val="36"/>
          <w:szCs w:val="36"/>
        </w:rPr>
        <w:pict>
          <v:line id="_x0000_s1157" o:spid="_x0000_s1157" o:spt="20" style="position:absolute;left:0pt;flip:x;margin-left:44.4pt;margin-top:10.6pt;height:13.5pt;width:0.05pt;z-index:251676672;mso-width-relative:page;mso-height-relative:page;" fillcolor="#FFFFFF" filled="t" stroked="t" coordsize="21600,21600">
            <v:path arrowok="t"/>
            <v:fill on="t" focussize="0,0"/>
            <v:stroke weight="1.25pt" color="#739CC3"/>
            <v:imagedata o:title=""/>
            <o:lock v:ext="edit" aspectratio="f"/>
          </v:line>
        </w:pict>
      </w:r>
    </w:p>
    <w:p>
      <w:pPr>
        <w:spacing w:line="0" w:lineRule="atLeast"/>
        <w:jc w:val="center"/>
        <w:rPr>
          <w:rFonts w:hint="eastAsia" w:ascii="宋体" w:hAnsi="宋体"/>
          <w:b/>
          <w:color w:val="000000"/>
          <w:sz w:val="36"/>
          <w:szCs w:val="36"/>
        </w:rPr>
      </w:pPr>
      <w:r>
        <w:rPr>
          <w:rFonts w:hint="eastAsia" w:ascii="宋体" w:hAnsi="宋体"/>
          <w:b/>
          <w:color w:val="000000"/>
          <w:sz w:val="36"/>
          <w:szCs w:val="36"/>
        </w:rPr>
        <w:pict>
          <v:shape id="_x0000_s1158" o:spid="_x0000_s1158" o:spt="109" type="#_x0000_t109" style="position:absolute;left:0pt;margin-left:219.5pt;margin-top:14.85pt;height:70.25pt;width:26.4pt;z-index:251677696;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rPr>
                  </w:pPr>
                  <w:r>
                    <w:rPr>
                      <w:rFonts w:hint="eastAsia" w:ascii="宋体" w:hAnsi="宋体"/>
                    </w:rPr>
                    <w:t>车间</w:t>
                  </w:r>
                </w:p>
              </w:txbxContent>
            </v:textbox>
          </v:shape>
        </w:pict>
      </w:r>
      <w:r>
        <w:rPr>
          <w:rFonts w:ascii="宋体" w:hAnsi="宋体"/>
          <w:sz w:val="36"/>
        </w:rPr>
        <w:pict>
          <v:shape id="自选图形 336" o:spid="_x0000_s1159" o:spt="109" type="#_x0000_t109" style="position:absolute;left:0pt;margin-left:33.8pt;margin-top:8.1pt;height:70.25pt;width:26.4pt;z-index:251671552;mso-width-relative:page;mso-height-relative:page;" fillcolor="#FFFFFF" filled="t" stroked="t" coordsize="21600,21600">
            <v:path/>
            <v:fill type="gradient" on="t" angle="90" focussize="0f,0f">
              <o:fill type="gradientUnscaled" v:ext="backwardCompatible"/>
            </v:fill>
            <v:stroke weight="1.25pt" color="#739CC3"/>
            <v:imagedata o:title=""/>
            <o:lock v:ext="edit" aspectratio="f"/>
            <v:textbox>
              <w:txbxContent>
                <w:p>
                  <w:pPr>
                    <w:rPr>
                      <w:rFonts w:hint="eastAsia"/>
                    </w:rPr>
                  </w:pPr>
                  <w:r>
                    <w:rPr>
                      <w:rFonts w:hint="eastAsia" w:ascii="宋体" w:hAnsi="宋体"/>
                    </w:rPr>
                    <w:t>仓库</w:t>
                  </w:r>
                </w:p>
              </w:txbxContent>
            </v:textbox>
          </v:shape>
        </w:pict>
      </w:r>
      <w:r>
        <w:rPr>
          <w:rFonts w:ascii="宋体" w:hAnsi="宋体"/>
          <w:sz w:val="36"/>
        </w:rPr>
        <w:pict>
          <v:line id="直线 344" o:spid="_x0000_s1160" o:spt="20" style="position:absolute;left:0pt;flip:x;margin-left:232.4pt;margin-top:2.1pt;height:12.75pt;width:0.4pt;z-index:251673600;mso-width-relative:page;mso-height-relative:page;" fillcolor="#FFFFFF" filled="t" stroked="t" coordsize="21600,21600">
            <v:path arrowok="t"/>
            <v:fill on="t" focussize="0,0"/>
            <v:stroke weight="1.25pt" color="#739CC3"/>
            <v:imagedata o:title=""/>
            <o:lock v:ext="edit" aspectratio="f"/>
          </v:line>
        </w:pict>
      </w:r>
    </w:p>
    <w:p>
      <w:pPr>
        <w:spacing w:line="0" w:lineRule="atLeast"/>
        <w:rPr>
          <w:rFonts w:hint="eastAsia" w:ascii="宋体" w:hAnsi="宋体"/>
          <w:b/>
          <w:color w:val="000000"/>
          <w:sz w:val="36"/>
          <w:szCs w:val="36"/>
        </w:rPr>
      </w:pPr>
    </w:p>
    <w:p>
      <w:pPr>
        <w:spacing w:line="0" w:lineRule="atLeast"/>
        <w:rPr>
          <w:rFonts w:hint="eastAsia" w:ascii="宋体" w:hAnsi="宋体"/>
          <w:b/>
          <w:color w:val="000000"/>
          <w:sz w:val="36"/>
          <w:szCs w:val="36"/>
        </w:rPr>
      </w:pPr>
    </w:p>
    <w:p>
      <w:pPr>
        <w:spacing w:before="100" w:after="100"/>
        <w:ind w:firstLine="560" w:firstLineChars="200"/>
        <w:rPr>
          <w:rFonts w:cs="宋体"/>
          <w:sz w:val="28"/>
          <w:szCs w:val="28"/>
        </w:rPr>
      </w:pPr>
    </w:p>
    <w:p>
      <w:pPr>
        <w:spacing w:before="100" w:after="100"/>
        <w:ind w:firstLine="560" w:firstLineChars="200"/>
        <w:rPr>
          <w:rFonts w:cs="宋体"/>
          <w:sz w:val="28"/>
          <w:szCs w:val="28"/>
        </w:rPr>
      </w:pPr>
    </w:p>
    <w:p>
      <w:pPr>
        <w:spacing w:before="100" w:after="100"/>
        <w:ind w:firstLine="560" w:firstLineChars="200"/>
        <w:rPr>
          <w:rFonts w:cs="宋体"/>
          <w:sz w:val="28"/>
          <w:szCs w:val="28"/>
        </w:rPr>
      </w:pPr>
    </w:p>
    <w:p>
      <w:pPr>
        <w:spacing w:before="100" w:after="100"/>
        <w:ind w:firstLine="560" w:firstLineChars="200"/>
        <w:rPr>
          <w:rFonts w:cs="宋体"/>
          <w:sz w:val="28"/>
          <w:szCs w:val="28"/>
        </w:rPr>
      </w:pPr>
    </w:p>
    <w:p/>
    <w:p>
      <w:pPr>
        <w:jc w:val="left"/>
        <w:rPr>
          <w:rFonts w:hint="eastAsia"/>
          <w:sz w:val="28"/>
          <w:szCs w:val="28"/>
        </w:rPr>
      </w:pPr>
    </w:p>
    <w:p>
      <w:pPr>
        <w:jc w:val="left"/>
        <w:rPr>
          <w:rFonts w:hint="eastAsia"/>
          <w:sz w:val="28"/>
          <w:szCs w:val="28"/>
        </w:rPr>
      </w:pPr>
    </w:p>
    <w:p>
      <w:pPr>
        <w:jc w:val="left"/>
        <w:rPr>
          <w:rFonts w:hint="eastAsia"/>
          <w:sz w:val="28"/>
          <w:szCs w:val="28"/>
        </w:rPr>
      </w:pPr>
    </w:p>
    <w:p>
      <w:pPr>
        <w:jc w:val="left"/>
        <w:rPr>
          <w:rFonts w:hint="eastAsia"/>
          <w:sz w:val="28"/>
          <w:szCs w:val="28"/>
        </w:rPr>
      </w:pPr>
    </w:p>
    <w:p>
      <w:pPr>
        <w:jc w:val="left"/>
        <w:rPr>
          <w:rFonts w:hint="eastAsia"/>
          <w:sz w:val="28"/>
          <w:szCs w:val="28"/>
        </w:rPr>
      </w:pPr>
    </w:p>
    <w:p>
      <w:pPr>
        <w:jc w:val="left"/>
        <w:rPr>
          <w:rFonts w:hint="eastAsia"/>
          <w:sz w:val="28"/>
          <w:szCs w:val="28"/>
        </w:rPr>
      </w:pPr>
    </w:p>
    <w:p>
      <w:pPr>
        <w:jc w:val="left"/>
        <w:rPr>
          <w:rFonts w:hint="eastAsia"/>
          <w:sz w:val="28"/>
          <w:szCs w:val="28"/>
        </w:rPr>
      </w:pPr>
    </w:p>
    <w:p>
      <w:pPr>
        <w:jc w:val="left"/>
        <w:rPr>
          <w:rFonts w:hint="eastAsia"/>
          <w:sz w:val="28"/>
          <w:szCs w:val="28"/>
        </w:rPr>
      </w:pPr>
    </w:p>
    <w:p>
      <w:pPr>
        <w:jc w:val="left"/>
        <w:rPr>
          <w:rFonts w:hint="eastAsia"/>
          <w:sz w:val="28"/>
          <w:szCs w:val="28"/>
        </w:rPr>
      </w:pPr>
    </w:p>
    <w:p>
      <w:pPr>
        <w:jc w:val="left"/>
        <w:rPr>
          <w:sz w:val="28"/>
          <w:szCs w:val="28"/>
        </w:rPr>
      </w:pPr>
      <w:r>
        <w:rPr>
          <w:rFonts w:hint="eastAsia"/>
          <w:sz w:val="28"/>
          <w:szCs w:val="28"/>
        </w:rPr>
        <w:t>各级管理组织的职责和权限如下：</w:t>
      </w:r>
    </w:p>
    <w:p>
      <w:pPr>
        <w:jc w:val="left"/>
        <w:rPr>
          <w:sz w:val="28"/>
          <w:szCs w:val="28"/>
        </w:rPr>
      </w:pPr>
      <w:r>
        <w:rPr>
          <w:rFonts w:hint="eastAsia"/>
          <w:sz w:val="28"/>
          <w:szCs w:val="28"/>
        </w:rPr>
        <w:t>（一）质量管理组织的职责</w:t>
      </w:r>
    </w:p>
    <w:p>
      <w:pPr>
        <w:jc w:val="left"/>
        <w:rPr>
          <w:sz w:val="28"/>
          <w:szCs w:val="28"/>
        </w:rPr>
      </w:pPr>
      <w:r>
        <w:rPr>
          <w:rFonts w:hint="eastAsia"/>
          <w:sz w:val="28"/>
          <w:szCs w:val="28"/>
        </w:rPr>
        <w:t>（1）、编制适合本企业的质量管理体系文件；</w:t>
      </w:r>
    </w:p>
    <w:p>
      <w:pPr>
        <w:jc w:val="left"/>
        <w:rPr>
          <w:sz w:val="28"/>
          <w:szCs w:val="28"/>
        </w:rPr>
      </w:pPr>
      <w:r>
        <w:rPr>
          <w:rFonts w:hint="eastAsia"/>
          <w:sz w:val="28"/>
          <w:szCs w:val="28"/>
        </w:rPr>
        <w:t>（2）、组织制定企业的质量方针和质量目标；</w:t>
      </w:r>
    </w:p>
    <w:p>
      <w:pPr>
        <w:jc w:val="left"/>
        <w:rPr>
          <w:sz w:val="28"/>
          <w:szCs w:val="28"/>
        </w:rPr>
      </w:pPr>
      <w:r>
        <w:rPr>
          <w:rFonts w:hint="eastAsia"/>
          <w:sz w:val="28"/>
          <w:szCs w:val="28"/>
        </w:rPr>
        <w:t>（3）、负责和监督企业质量管理体系的有效运行；</w:t>
      </w:r>
    </w:p>
    <w:p>
      <w:pPr>
        <w:jc w:val="left"/>
        <w:rPr>
          <w:sz w:val="28"/>
          <w:szCs w:val="28"/>
        </w:rPr>
      </w:pPr>
      <w:r>
        <w:rPr>
          <w:rFonts w:hint="eastAsia"/>
          <w:sz w:val="28"/>
          <w:szCs w:val="28"/>
        </w:rPr>
        <w:t>（4）、制定质量奖惩制度，负责谐调各部门的质量责任，并考核工作质量；</w:t>
      </w:r>
    </w:p>
    <w:p>
      <w:pPr>
        <w:jc w:val="left"/>
        <w:rPr>
          <w:sz w:val="28"/>
          <w:szCs w:val="28"/>
        </w:rPr>
      </w:pPr>
      <w:r>
        <w:rPr>
          <w:rFonts w:hint="eastAsia"/>
          <w:sz w:val="28"/>
          <w:szCs w:val="28"/>
        </w:rPr>
        <w:t>（5）、组织企业内部质量审核；</w:t>
      </w:r>
    </w:p>
    <w:p>
      <w:pPr>
        <w:jc w:val="left"/>
        <w:rPr>
          <w:sz w:val="28"/>
          <w:szCs w:val="28"/>
        </w:rPr>
      </w:pPr>
      <w:r>
        <w:rPr>
          <w:rFonts w:hint="eastAsia"/>
          <w:sz w:val="28"/>
          <w:szCs w:val="28"/>
        </w:rPr>
        <w:t>（6）、负责重大质量事故的分析处理；</w:t>
      </w:r>
    </w:p>
    <w:p>
      <w:pPr>
        <w:jc w:val="left"/>
        <w:rPr>
          <w:sz w:val="28"/>
          <w:szCs w:val="28"/>
        </w:rPr>
      </w:pPr>
      <w:r>
        <w:rPr>
          <w:rFonts w:hint="eastAsia"/>
          <w:sz w:val="28"/>
          <w:szCs w:val="28"/>
        </w:rPr>
        <w:t>（7）、监督企业质量基金的使用与管理；</w:t>
      </w:r>
    </w:p>
    <w:p>
      <w:pPr>
        <w:jc w:val="left"/>
        <w:rPr>
          <w:sz w:val="28"/>
          <w:szCs w:val="28"/>
        </w:rPr>
      </w:pPr>
      <w:r>
        <w:rPr>
          <w:rFonts w:hint="eastAsia"/>
          <w:sz w:val="28"/>
          <w:szCs w:val="28"/>
        </w:rPr>
        <w:t>（二）各车间和职能部门的职责</w:t>
      </w:r>
    </w:p>
    <w:p>
      <w:pPr>
        <w:jc w:val="left"/>
        <w:rPr>
          <w:sz w:val="28"/>
          <w:szCs w:val="28"/>
        </w:rPr>
      </w:pPr>
      <w:r>
        <w:rPr>
          <w:rFonts w:hint="eastAsia"/>
          <w:sz w:val="28"/>
          <w:szCs w:val="28"/>
        </w:rPr>
        <w:t>（1）、保证质量管理体系在本单位得到有效运行；</w:t>
      </w:r>
    </w:p>
    <w:p>
      <w:pPr>
        <w:jc w:val="left"/>
        <w:rPr>
          <w:sz w:val="28"/>
          <w:szCs w:val="28"/>
        </w:rPr>
      </w:pPr>
      <w:r>
        <w:rPr>
          <w:rFonts w:hint="eastAsia"/>
          <w:sz w:val="28"/>
          <w:szCs w:val="28"/>
        </w:rPr>
        <w:t>（2）、组织开展质量管理活动；</w:t>
      </w:r>
    </w:p>
    <w:p>
      <w:pPr>
        <w:jc w:val="left"/>
        <w:rPr>
          <w:sz w:val="28"/>
          <w:szCs w:val="28"/>
        </w:rPr>
      </w:pPr>
      <w:r>
        <w:rPr>
          <w:rFonts w:hint="eastAsia"/>
          <w:sz w:val="28"/>
          <w:szCs w:val="28"/>
        </w:rPr>
        <w:t>（3）、严格执行质量管理组织的质量指令；</w:t>
      </w:r>
    </w:p>
    <w:p>
      <w:pPr>
        <w:jc w:val="left"/>
        <w:rPr>
          <w:sz w:val="28"/>
          <w:szCs w:val="28"/>
        </w:rPr>
      </w:pPr>
      <w:r>
        <w:rPr>
          <w:rFonts w:hint="eastAsia"/>
          <w:sz w:val="28"/>
          <w:szCs w:val="28"/>
        </w:rPr>
        <w:t>（4）、完成本单位涉及的质量指标或质量目标。</w:t>
      </w:r>
    </w:p>
    <w:p>
      <w:pPr>
        <w:jc w:val="left"/>
        <w:rPr>
          <w:sz w:val="28"/>
          <w:szCs w:val="28"/>
        </w:rPr>
      </w:pPr>
      <w:r>
        <w:rPr>
          <w:rFonts w:hint="eastAsia"/>
          <w:sz w:val="28"/>
          <w:szCs w:val="28"/>
        </w:rPr>
        <w:t>（三）品质管理中心的职责和权限</w:t>
      </w:r>
    </w:p>
    <w:p>
      <w:pPr>
        <w:jc w:val="left"/>
        <w:rPr>
          <w:sz w:val="28"/>
          <w:szCs w:val="28"/>
        </w:rPr>
      </w:pPr>
      <w:r>
        <w:rPr>
          <w:rFonts w:hint="eastAsia"/>
          <w:sz w:val="28"/>
          <w:szCs w:val="28"/>
        </w:rPr>
        <w:t>（1）、质量检验</w:t>
      </w:r>
    </w:p>
    <w:p>
      <w:pPr>
        <w:ind w:firstLine="560" w:firstLineChars="200"/>
        <w:jc w:val="left"/>
        <w:rPr>
          <w:sz w:val="28"/>
          <w:szCs w:val="28"/>
        </w:rPr>
      </w:pPr>
      <w:r>
        <w:rPr>
          <w:rFonts w:hint="eastAsia"/>
          <w:sz w:val="28"/>
          <w:szCs w:val="28"/>
        </w:rPr>
        <w:t>按照有关标准和规定，对原辅材料、包装材料、半成品、成品进行检验。按规定做好质量记录和标识，及时提供准确可靠的检验数据，掌握质量动态，保证产品检验的可追溯性。</w:t>
      </w:r>
    </w:p>
    <w:p>
      <w:pPr>
        <w:jc w:val="left"/>
        <w:rPr>
          <w:sz w:val="28"/>
          <w:szCs w:val="28"/>
        </w:rPr>
      </w:pPr>
      <w:r>
        <w:rPr>
          <w:rFonts w:hint="eastAsia"/>
          <w:sz w:val="28"/>
          <w:szCs w:val="28"/>
        </w:rPr>
        <w:t>（2）、质量控制</w:t>
      </w:r>
    </w:p>
    <w:p>
      <w:pPr>
        <w:ind w:firstLine="560" w:firstLineChars="200"/>
        <w:jc w:val="left"/>
        <w:rPr>
          <w:sz w:val="28"/>
          <w:szCs w:val="28"/>
        </w:rPr>
      </w:pPr>
      <w:r>
        <w:rPr>
          <w:rFonts w:hint="eastAsia"/>
          <w:sz w:val="28"/>
          <w:szCs w:val="28"/>
        </w:rPr>
        <w:t>根据产品质量要求，制定原辅材料、包装材料、半成品和成品的企业内控标准，组织实施过程质量控制，运用数理统计方法掌握质量波动规律，不断提高预见性与预防能力，并及时采取纠正措施、预防措施，使生产全过程处于受控状态。</w:t>
      </w:r>
    </w:p>
    <w:p>
      <w:pPr>
        <w:jc w:val="left"/>
        <w:rPr>
          <w:sz w:val="28"/>
          <w:szCs w:val="28"/>
        </w:rPr>
      </w:pPr>
      <w:r>
        <w:rPr>
          <w:rFonts w:hint="eastAsia"/>
          <w:sz w:val="28"/>
          <w:szCs w:val="28"/>
        </w:rPr>
        <w:t>（3）、出厂产</w:t>
      </w:r>
      <w:r>
        <w:rPr>
          <w:sz w:val="28"/>
          <w:szCs w:val="28"/>
        </w:rPr>
        <w:t>品</w:t>
      </w:r>
      <w:r>
        <w:rPr>
          <w:rFonts w:hint="eastAsia"/>
          <w:sz w:val="28"/>
          <w:szCs w:val="28"/>
        </w:rPr>
        <w:t>的合格确认和验证</w:t>
      </w:r>
    </w:p>
    <w:p>
      <w:pPr>
        <w:ind w:firstLine="560" w:firstLineChars="200"/>
        <w:jc w:val="left"/>
        <w:rPr>
          <w:sz w:val="28"/>
          <w:szCs w:val="28"/>
        </w:rPr>
      </w:pPr>
      <w:r>
        <w:rPr>
          <w:rFonts w:hint="eastAsia"/>
          <w:sz w:val="28"/>
          <w:szCs w:val="28"/>
        </w:rPr>
        <w:t>严格按照相关产品标准和企业制定的产品的《检验规范》进行检验，杜绝不合格产品出厂。</w:t>
      </w:r>
    </w:p>
    <w:p>
      <w:pPr>
        <w:jc w:val="left"/>
        <w:rPr>
          <w:sz w:val="28"/>
          <w:szCs w:val="28"/>
        </w:rPr>
      </w:pPr>
      <w:r>
        <w:rPr>
          <w:rFonts w:hint="eastAsia"/>
          <w:sz w:val="28"/>
          <w:szCs w:val="28"/>
        </w:rPr>
        <w:t>（4）、质量统计和分析</w:t>
      </w:r>
    </w:p>
    <w:p>
      <w:pPr>
        <w:jc w:val="left"/>
        <w:rPr>
          <w:sz w:val="28"/>
          <w:szCs w:val="28"/>
        </w:rPr>
      </w:pPr>
      <w:r>
        <w:rPr>
          <w:rFonts w:hint="eastAsia"/>
          <w:sz w:val="28"/>
          <w:szCs w:val="28"/>
        </w:rPr>
        <w:t>利用数理统计方法，及时进行质量统计，做好分析和改进工作。</w:t>
      </w:r>
    </w:p>
    <w:p>
      <w:pPr>
        <w:pStyle w:val="2"/>
        <w:rPr>
          <w:sz w:val="36"/>
          <w:szCs w:val="36"/>
        </w:rPr>
      </w:pPr>
      <w:bookmarkStart w:id="18" w:name="_Toc448411644"/>
      <w:bookmarkStart w:id="19" w:name="_Toc496693327"/>
      <w:r>
        <w:rPr>
          <w:rFonts w:hint="eastAsia"/>
          <w:sz w:val="36"/>
          <w:szCs w:val="36"/>
        </w:rPr>
        <w:t>3、</w:t>
      </w:r>
      <w:r>
        <w:rPr>
          <w:sz w:val="36"/>
          <w:szCs w:val="36"/>
        </w:rPr>
        <w:t>质量管理体系</w:t>
      </w:r>
      <w:bookmarkEnd w:id="18"/>
      <w:bookmarkEnd w:id="19"/>
    </w:p>
    <w:p>
      <w:pPr>
        <w:ind w:firstLine="560" w:firstLineChars="200"/>
        <w:jc w:val="left"/>
        <w:rPr>
          <w:sz w:val="28"/>
          <w:szCs w:val="28"/>
        </w:rPr>
      </w:pPr>
      <w:r>
        <w:rPr>
          <w:rFonts w:hint="eastAsia"/>
          <w:sz w:val="28"/>
          <w:szCs w:val="28"/>
        </w:rPr>
        <w:t>公司于</w:t>
      </w:r>
      <w:r>
        <w:rPr>
          <w:sz w:val="28"/>
          <w:szCs w:val="28"/>
        </w:rPr>
        <w:t>20</w:t>
      </w:r>
      <w:r>
        <w:rPr>
          <w:rFonts w:hint="eastAsia"/>
          <w:sz w:val="28"/>
          <w:szCs w:val="28"/>
          <w:lang w:val="en-US" w:eastAsia="zh-CN"/>
        </w:rPr>
        <w:t>17</w:t>
      </w:r>
      <w:r>
        <w:rPr>
          <w:rFonts w:hint="eastAsia"/>
          <w:sz w:val="28"/>
          <w:szCs w:val="28"/>
        </w:rPr>
        <w:t>年通过ISO9001质量管理体系认证。近年来，不断优化资源整合，修订、完善、建立健全适应本公司实际的质量管理体系，扎实有效地落实了管理工作中的各项责任、各项目标，确保质量管理体系有效运行，推进公司可持续发展。</w:t>
      </w:r>
    </w:p>
    <w:p>
      <w:pPr>
        <w:ind w:firstLine="560" w:firstLineChars="200"/>
        <w:jc w:val="left"/>
        <w:rPr>
          <w:sz w:val="28"/>
          <w:szCs w:val="28"/>
        </w:rPr>
      </w:pPr>
      <w:r>
        <w:rPr>
          <w:rFonts w:hint="eastAsia"/>
          <w:sz w:val="28"/>
          <w:szCs w:val="28"/>
        </w:rPr>
        <w:t>（1）公司质量管理体系的有效性建立源于公司设立了一套合理有效的科学、标准的工艺管理、管理文件，规范指导整个生产过程，确保质量管理体系的顺畅。</w:t>
      </w:r>
    </w:p>
    <w:p>
      <w:pPr>
        <w:ind w:firstLine="560" w:firstLineChars="200"/>
        <w:jc w:val="left"/>
        <w:rPr>
          <w:sz w:val="28"/>
          <w:szCs w:val="28"/>
        </w:rPr>
      </w:pPr>
      <w:r>
        <w:rPr>
          <w:rFonts w:hint="eastAsia"/>
          <w:sz w:val="28"/>
          <w:szCs w:val="28"/>
        </w:rPr>
        <w:t>（2）根据公司质量目标，分解下发各部门分质量目标，定期开展质量目标实施检查工作。对检查中发现的问题，及时反馈，同时以顾客为关注焦点，以用户满意度为测量标准，用尽善尽美的售后服务来满足用户和社会的需求，赢得用户的信赖和满意，确保质量目标持续改进。</w:t>
      </w:r>
    </w:p>
    <w:p>
      <w:pPr>
        <w:ind w:firstLine="560" w:firstLineChars="200"/>
        <w:jc w:val="left"/>
        <w:rPr>
          <w:sz w:val="28"/>
          <w:szCs w:val="28"/>
        </w:rPr>
      </w:pPr>
      <w:r>
        <w:rPr>
          <w:rFonts w:hint="eastAsia"/>
          <w:sz w:val="28"/>
          <w:szCs w:val="28"/>
        </w:rPr>
        <w:t>公司质量目标完成情况如下：</w:t>
      </w:r>
    </w:p>
    <w:p>
      <w:pPr>
        <w:jc w:val="left"/>
        <w:rPr>
          <w:sz w:val="28"/>
          <w:szCs w:val="28"/>
        </w:rPr>
      </w:pPr>
      <w:r>
        <w:rPr>
          <w:rFonts w:hint="eastAsia"/>
          <w:sz w:val="28"/>
          <w:szCs w:val="28"/>
        </w:rPr>
        <w:t>（</w:t>
      </w:r>
      <w:r>
        <w:rPr>
          <w:sz w:val="28"/>
          <w:szCs w:val="28"/>
        </w:rPr>
        <w:t>1</w:t>
      </w:r>
      <w:r>
        <w:rPr>
          <w:rFonts w:hint="eastAsia"/>
          <w:sz w:val="28"/>
          <w:szCs w:val="28"/>
        </w:rPr>
        <w:t>）、公司生产的产品质量满足 </w:t>
      </w:r>
      <w:r>
        <w:rPr>
          <w:rFonts w:hint="eastAsia"/>
          <w:sz w:val="28"/>
          <w:szCs w:val="28"/>
          <w:lang w:val="en-US" w:eastAsia="zh-CN"/>
        </w:rPr>
        <w:t>GB/T15036.1-2018</w:t>
      </w:r>
      <w:r>
        <w:rPr>
          <w:rFonts w:hint="eastAsia" w:asciiTheme="minorEastAsia" w:hAnsiTheme="minorEastAsia"/>
          <w:sz w:val="28"/>
          <w:szCs w:val="28"/>
        </w:rPr>
        <w:t>《</w:t>
      </w:r>
      <w:r>
        <w:rPr>
          <w:rFonts w:hint="eastAsia" w:asciiTheme="minorEastAsia" w:hAnsiTheme="minorEastAsia"/>
          <w:sz w:val="28"/>
          <w:szCs w:val="28"/>
          <w:lang w:val="en-US" w:eastAsia="zh-CN"/>
        </w:rPr>
        <w:t>实木地板 第1部分 技术要求</w:t>
      </w:r>
      <w:r>
        <w:rPr>
          <w:rFonts w:hint="eastAsia"/>
          <w:sz w:val="28"/>
          <w:szCs w:val="28"/>
        </w:rPr>
        <w:t>》 </w:t>
      </w:r>
      <w:r>
        <w:rPr>
          <w:rFonts w:hint="eastAsia"/>
          <w:sz w:val="28"/>
          <w:szCs w:val="28"/>
          <w:lang w:val="en-US" w:eastAsia="zh-CN"/>
        </w:rPr>
        <w:t>GB/T15036.2-2018</w:t>
      </w:r>
      <w:r>
        <w:rPr>
          <w:rFonts w:hint="eastAsia" w:asciiTheme="minorEastAsia" w:hAnsiTheme="minorEastAsia"/>
          <w:sz w:val="28"/>
          <w:szCs w:val="28"/>
        </w:rPr>
        <w:t>《</w:t>
      </w:r>
      <w:r>
        <w:rPr>
          <w:rFonts w:hint="eastAsia" w:asciiTheme="minorEastAsia" w:hAnsiTheme="minorEastAsia"/>
          <w:sz w:val="28"/>
          <w:szCs w:val="28"/>
          <w:lang w:val="en-US" w:eastAsia="zh-CN"/>
        </w:rPr>
        <w:t>实木地板 第2部分 检验要求</w:t>
      </w:r>
      <w:r>
        <w:rPr>
          <w:rFonts w:hint="eastAsia"/>
          <w:sz w:val="28"/>
          <w:szCs w:val="28"/>
        </w:rPr>
        <w:t>》</w:t>
      </w:r>
      <w:r>
        <w:rPr>
          <w:rFonts w:hint="eastAsia"/>
          <w:sz w:val="28"/>
          <w:szCs w:val="28"/>
          <w:lang w:eastAsia="zh-CN"/>
        </w:rPr>
        <w:t>、</w:t>
      </w:r>
      <w:r>
        <w:rPr>
          <w:rFonts w:hint="eastAsia"/>
          <w:sz w:val="28"/>
          <w:szCs w:val="28"/>
          <w:lang w:val="en-US" w:eastAsia="zh-CN"/>
        </w:rPr>
        <w:t>GB18580-2017《室内装饰装修材料 人造板及其制品中甲醛释放限量》</w:t>
      </w:r>
      <w:r>
        <w:rPr>
          <w:rFonts w:hint="eastAsia"/>
          <w:sz w:val="28"/>
          <w:szCs w:val="28"/>
        </w:rPr>
        <w:t>等</w:t>
      </w:r>
      <w:r>
        <w:rPr>
          <w:sz w:val="28"/>
          <w:szCs w:val="28"/>
        </w:rPr>
        <w:t>标准</w:t>
      </w:r>
      <w:r>
        <w:rPr>
          <w:rFonts w:hint="eastAsia"/>
          <w:sz w:val="28"/>
          <w:szCs w:val="28"/>
        </w:rPr>
        <w:t>的要求，出厂产品合格率100%。</w:t>
      </w:r>
    </w:p>
    <w:p>
      <w:pPr>
        <w:jc w:val="left"/>
        <w:rPr>
          <w:sz w:val="28"/>
          <w:szCs w:val="28"/>
        </w:rPr>
      </w:pPr>
      <w:r>
        <w:rPr>
          <w:rFonts w:hint="eastAsia"/>
          <w:sz w:val="28"/>
          <w:szCs w:val="28"/>
        </w:rPr>
        <w:t>（2）、每年定期开展公司内部质量审核、管理评审工作。不断规范、健全内部审核各项实施记录，较好地保证了体系的有效运行和持续改进。</w:t>
      </w:r>
    </w:p>
    <w:p>
      <w:pPr>
        <w:jc w:val="left"/>
        <w:rPr>
          <w:sz w:val="28"/>
          <w:szCs w:val="28"/>
        </w:rPr>
      </w:pPr>
      <w:r>
        <w:rPr>
          <w:rFonts w:hint="eastAsia"/>
          <w:sz w:val="28"/>
          <w:szCs w:val="28"/>
        </w:rPr>
        <w:t>（3）、加强管理制度执行的检查力度，大力开展管理文件适用性评审工作，及时查找、分析制度中存在的不适宜性，提出合理可行、防漏补缺的措施，有效促进了公司的管理业绩水平持续改进。</w:t>
      </w:r>
    </w:p>
    <w:p>
      <w:pPr>
        <w:jc w:val="left"/>
        <w:rPr>
          <w:sz w:val="28"/>
          <w:szCs w:val="28"/>
        </w:rPr>
      </w:pPr>
      <w:r>
        <w:rPr>
          <w:rFonts w:hint="eastAsia"/>
          <w:sz w:val="28"/>
          <w:szCs w:val="28"/>
        </w:rPr>
        <w:t>（4）、始终坚持不懈加强过程控制是确保企业产品质量稳定的唯一有效途径。</w:t>
      </w:r>
    </w:p>
    <w:p>
      <w:pPr>
        <w:jc w:val="left"/>
        <w:rPr>
          <w:sz w:val="28"/>
          <w:szCs w:val="28"/>
        </w:rPr>
      </w:pPr>
      <w:r>
        <w:rPr>
          <w:rFonts w:hint="eastAsia"/>
          <w:sz w:val="28"/>
          <w:szCs w:val="28"/>
        </w:rPr>
        <w:t>（5</w:t>
      </w:r>
      <w:r>
        <w:rPr>
          <w:sz w:val="28"/>
          <w:szCs w:val="28"/>
        </w:rPr>
        <w:t>）</w:t>
      </w:r>
      <w:r>
        <w:rPr>
          <w:rFonts w:hint="eastAsia"/>
          <w:sz w:val="28"/>
          <w:szCs w:val="28"/>
        </w:rPr>
        <w:t>、始终坚持持续创新，在搞好生产经营的同时，同时积极开展节能减排技改工程。</w:t>
      </w:r>
    </w:p>
    <w:p>
      <w:pPr>
        <w:jc w:val="left"/>
        <w:rPr>
          <w:sz w:val="28"/>
          <w:szCs w:val="28"/>
        </w:rPr>
      </w:pPr>
      <w:r>
        <w:rPr>
          <w:rFonts w:hint="eastAsia"/>
          <w:sz w:val="28"/>
          <w:szCs w:val="28"/>
        </w:rPr>
        <w:t>（6</w:t>
      </w:r>
      <w:r>
        <w:rPr>
          <w:sz w:val="28"/>
          <w:szCs w:val="28"/>
        </w:rPr>
        <w:t>）</w:t>
      </w:r>
      <w:r>
        <w:rPr>
          <w:rFonts w:hint="eastAsia"/>
          <w:sz w:val="28"/>
          <w:szCs w:val="28"/>
        </w:rPr>
        <w:t>、坚持以关注顾客为焦点，持续改进质量管理体系。不断调整、改进产品过程控制，提高和完善产品质量水平，不断增强顾客满意度，确保经济效益稳步增长。</w:t>
      </w:r>
    </w:p>
    <w:p>
      <w:pPr>
        <w:widowControl/>
        <w:shd w:val="clear" w:color="auto" w:fill="FFFFFF"/>
        <w:spacing w:line="300" w:lineRule="atLeast"/>
        <w:jc w:val="left"/>
        <w:rPr>
          <w:rFonts w:hint="eastAsia" w:ascii="宋体" w:hAnsi="宋体" w:eastAsia="宋体" w:cs="宋体"/>
          <w:color w:val="000000"/>
          <w:kern w:val="0"/>
          <w:szCs w:val="21"/>
        </w:rPr>
      </w:pPr>
      <w:r>
        <w:rPr>
          <w:rFonts w:hint="eastAsia"/>
          <w:sz w:val="28"/>
          <w:szCs w:val="28"/>
        </w:rPr>
        <w:t>（7</w:t>
      </w:r>
      <w:r>
        <w:rPr>
          <w:sz w:val="28"/>
          <w:szCs w:val="28"/>
        </w:rPr>
        <w:t>）</w:t>
      </w:r>
      <w:r>
        <w:rPr>
          <w:rFonts w:hint="eastAsia"/>
          <w:sz w:val="28"/>
          <w:szCs w:val="28"/>
        </w:rPr>
        <w:t>、</w:t>
      </w:r>
      <w:r>
        <w:rPr>
          <w:rFonts w:ascii="宋体" w:hAnsi="宋体" w:eastAsia="宋体" w:cs="宋体"/>
          <w:color w:val="000000"/>
          <w:kern w:val="0"/>
          <w:sz w:val="27"/>
          <w:szCs w:val="27"/>
        </w:rPr>
        <w:t>根据</w:t>
      </w:r>
      <w:r>
        <w:rPr>
          <w:rFonts w:hint="eastAsia" w:ascii="宋体" w:hAnsi="宋体" w:eastAsia="宋体" w:cs="宋体"/>
          <w:color w:val="000000"/>
          <w:kern w:val="0"/>
          <w:sz w:val="27"/>
          <w:szCs w:val="27"/>
        </w:rPr>
        <w:t>主</w:t>
      </w:r>
      <w:r>
        <w:rPr>
          <w:rFonts w:ascii="宋体" w:hAnsi="宋体" w:eastAsia="宋体" w:cs="宋体"/>
          <w:color w:val="000000"/>
          <w:kern w:val="0"/>
          <w:sz w:val="27"/>
          <w:szCs w:val="27"/>
        </w:rPr>
        <w:t>要</w:t>
      </w:r>
      <w:r>
        <w:rPr>
          <w:rFonts w:hint="eastAsia" w:ascii="宋体" w:hAnsi="宋体" w:eastAsia="宋体" w:cs="宋体"/>
          <w:color w:val="000000"/>
          <w:kern w:val="0"/>
          <w:sz w:val="27"/>
          <w:szCs w:val="27"/>
        </w:rPr>
        <w:t>原</w:t>
      </w:r>
      <w:r>
        <w:rPr>
          <w:rFonts w:ascii="宋体" w:hAnsi="宋体" w:eastAsia="宋体" w:cs="宋体"/>
          <w:color w:val="000000"/>
          <w:kern w:val="0"/>
          <w:sz w:val="27"/>
          <w:szCs w:val="27"/>
        </w:rPr>
        <w:t>材料的变更情况及用户需求，及时进行产品试验研究，提</w:t>
      </w:r>
      <w:r>
        <w:rPr>
          <w:rFonts w:hint="eastAsia" w:ascii="宋体" w:hAnsi="宋体" w:eastAsia="宋体" w:cs="宋体"/>
          <w:color w:val="000000"/>
          <w:kern w:val="0"/>
          <w:sz w:val="27"/>
          <w:szCs w:val="27"/>
        </w:rPr>
        <w:t>高</w:t>
      </w:r>
      <w:r>
        <w:rPr>
          <w:rFonts w:ascii="宋体" w:hAnsi="宋体" w:eastAsia="宋体" w:cs="宋体"/>
          <w:color w:val="000000"/>
          <w:kern w:val="0"/>
          <w:sz w:val="27"/>
          <w:szCs w:val="27"/>
        </w:rPr>
        <w:t>产品质量，改善产品使用性能。</w:t>
      </w:r>
    </w:p>
    <w:p>
      <w:pPr>
        <w:widowControl/>
        <w:shd w:val="clear" w:color="auto" w:fill="FFFFFF"/>
        <w:spacing w:line="300" w:lineRule="atLeast"/>
        <w:ind w:firstLine="540" w:firstLineChars="200"/>
        <w:jc w:val="left"/>
        <w:rPr>
          <w:rFonts w:hint="eastAsia" w:ascii="宋体" w:hAnsi="宋体" w:eastAsia="宋体" w:cs="宋体"/>
          <w:color w:val="000000"/>
          <w:kern w:val="0"/>
          <w:szCs w:val="21"/>
        </w:rPr>
      </w:pPr>
      <w:r>
        <w:rPr>
          <w:rFonts w:ascii="宋体" w:hAnsi="宋体" w:eastAsia="宋体" w:cs="宋体"/>
          <w:color w:val="000000"/>
          <w:kern w:val="0"/>
          <w:sz w:val="27"/>
          <w:szCs w:val="27"/>
        </w:rPr>
        <w:t>为确保质量管理水平和全面提升管控能力，公司高层领导、中层管理者逐级签订责任</w:t>
      </w:r>
      <w:r>
        <w:rPr>
          <w:rFonts w:hint="eastAsia" w:ascii="宋体" w:hAnsi="宋体" w:eastAsia="宋体" w:cs="宋体"/>
          <w:color w:val="000000"/>
          <w:kern w:val="0"/>
          <w:sz w:val="27"/>
          <w:szCs w:val="27"/>
        </w:rPr>
        <w:t>书</w:t>
      </w:r>
      <w:r>
        <w:rPr>
          <w:rFonts w:ascii="宋体" w:hAnsi="宋体" w:eastAsia="宋体" w:cs="宋体"/>
          <w:color w:val="000000"/>
          <w:kern w:val="0"/>
          <w:sz w:val="27"/>
          <w:szCs w:val="27"/>
        </w:rPr>
        <w:t>，严格按照相关质量目标进行考核。公司各相关部门月度、年度考核指标与过程质量指标挂钩，直接反映在个人薪酬上，在全公司营造了良好的质量管理氛围，确保了生产过程全员参与、全过程控制的全面质量管理工作，形成</w:t>
      </w:r>
      <w:r>
        <w:rPr>
          <w:rFonts w:hint="eastAsia" w:ascii="宋体" w:hAnsi="宋体" w:eastAsia="宋体" w:cs="宋体"/>
          <w:color w:val="000000"/>
          <w:kern w:val="0"/>
          <w:sz w:val="27"/>
          <w:szCs w:val="27"/>
        </w:rPr>
        <w:t>从</w:t>
      </w:r>
      <w:r>
        <w:rPr>
          <w:rFonts w:ascii="宋体" w:hAnsi="宋体" w:eastAsia="宋体" w:cs="宋体"/>
          <w:color w:val="000000"/>
          <w:kern w:val="0"/>
          <w:sz w:val="27"/>
          <w:szCs w:val="27"/>
        </w:rPr>
        <w:t>原材料进厂、</w:t>
      </w:r>
      <w:r>
        <w:rPr>
          <w:rFonts w:hint="eastAsia" w:ascii="宋体" w:hAnsi="宋体" w:eastAsia="宋体" w:cs="宋体"/>
          <w:color w:val="000000"/>
          <w:kern w:val="0"/>
          <w:sz w:val="27"/>
          <w:szCs w:val="27"/>
        </w:rPr>
        <w:t>生</w:t>
      </w:r>
      <w:r>
        <w:rPr>
          <w:rFonts w:ascii="宋体" w:hAnsi="宋体" w:eastAsia="宋体" w:cs="宋体"/>
          <w:color w:val="000000"/>
          <w:kern w:val="0"/>
          <w:sz w:val="27"/>
          <w:szCs w:val="27"/>
        </w:rPr>
        <w:t>产、入库到出厂全过程监控。</w:t>
      </w:r>
    </w:p>
    <w:p>
      <w:pPr>
        <w:ind w:firstLine="560" w:firstLineChars="200"/>
        <w:jc w:val="left"/>
        <w:rPr>
          <w:sz w:val="28"/>
          <w:szCs w:val="28"/>
        </w:rPr>
      </w:pPr>
      <w:r>
        <w:rPr>
          <w:rFonts w:hint="eastAsia"/>
          <w:sz w:val="28"/>
          <w:szCs w:val="28"/>
        </w:rPr>
        <w:t>通过以上措施，确保了质量管理体系的完善性、有效性和运行的符合性，促进了公司整体质量管理水平持续提升。</w:t>
      </w:r>
    </w:p>
    <w:p>
      <w:pPr>
        <w:pStyle w:val="2"/>
        <w:rPr>
          <w:sz w:val="36"/>
          <w:szCs w:val="36"/>
        </w:rPr>
      </w:pPr>
      <w:bookmarkStart w:id="20" w:name="_Toc496693328"/>
      <w:r>
        <w:rPr>
          <w:sz w:val="36"/>
          <w:szCs w:val="36"/>
        </w:rPr>
        <w:t>4</w:t>
      </w:r>
      <w:r>
        <w:rPr>
          <w:rFonts w:hint="eastAsia"/>
          <w:sz w:val="36"/>
          <w:szCs w:val="36"/>
        </w:rPr>
        <w:t>、</w:t>
      </w:r>
      <w:r>
        <w:rPr>
          <w:sz w:val="36"/>
          <w:szCs w:val="36"/>
        </w:rPr>
        <w:t>企业质量诚信</w:t>
      </w:r>
      <w:bookmarkEnd w:id="20"/>
    </w:p>
    <w:p>
      <w:pPr>
        <w:ind w:firstLine="560" w:firstLineChars="200"/>
        <w:jc w:val="left"/>
        <w:rPr>
          <w:sz w:val="28"/>
          <w:szCs w:val="28"/>
        </w:rPr>
      </w:pPr>
      <w:r>
        <w:rPr>
          <w:rFonts w:hint="eastAsia"/>
          <w:sz w:val="28"/>
          <w:szCs w:val="28"/>
        </w:rPr>
        <w:t>为进一步提升产品质量，落实质量主体责任，公司努力创建质量诚信体系，以产品生产许可、国家标准等规章制度为准则，率先取得ISO9000族质量管理体系认证并扎实落实和持续改进。为确保质量诚信体系的有效运行“真诚做人、扎实做事”的理念，使员工真正认识到诚信在企业发展中的重要作用，把诚信渗透并凝结于企业经营理念之中。</w:t>
      </w:r>
    </w:p>
    <w:p>
      <w:pPr>
        <w:pStyle w:val="2"/>
        <w:rPr>
          <w:sz w:val="36"/>
          <w:szCs w:val="36"/>
        </w:rPr>
      </w:pPr>
      <w:bookmarkStart w:id="21" w:name="_Toc496693329"/>
      <w:r>
        <w:rPr>
          <w:rFonts w:hint="eastAsia"/>
          <w:sz w:val="36"/>
          <w:szCs w:val="36"/>
        </w:rPr>
        <w:t>5、质</w:t>
      </w:r>
      <w:r>
        <w:rPr>
          <w:sz w:val="36"/>
          <w:szCs w:val="36"/>
        </w:rPr>
        <w:t>量文化建设</w:t>
      </w:r>
      <w:bookmarkEnd w:id="21"/>
    </w:p>
    <w:p>
      <w:pPr>
        <w:ind w:firstLine="560" w:firstLineChars="200"/>
        <w:jc w:val="left"/>
        <w:rPr>
          <w:sz w:val="28"/>
          <w:szCs w:val="28"/>
        </w:rPr>
      </w:pPr>
      <w:r>
        <w:rPr>
          <w:rFonts w:hint="eastAsia"/>
          <w:sz w:val="28"/>
          <w:szCs w:val="28"/>
          <w:lang w:val="en-US" w:eastAsia="zh-CN"/>
        </w:rPr>
        <w:t>浙江德联家居股份有限公司</w:t>
      </w:r>
      <w:r>
        <w:rPr>
          <w:rFonts w:hint="eastAsia"/>
          <w:sz w:val="28"/>
          <w:szCs w:val="28"/>
        </w:rPr>
        <w:t>在</w:t>
      </w:r>
      <w:r>
        <w:rPr>
          <w:rFonts w:hint="eastAsia"/>
          <w:sz w:val="28"/>
          <w:szCs w:val="28"/>
          <w:lang w:eastAsia="zh-CN"/>
        </w:rPr>
        <w:t>十</w:t>
      </w:r>
      <w:r>
        <w:rPr>
          <w:rFonts w:hint="eastAsia"/>
          <w:sz w:val="28"/>
          <w:szCs w:val="28"/>
        </w:rPr>
        <w:t>多年发展实践过程中，形成了具有特色的企业文化，在培育企业精神、提炼经营理念、推动制度创新、塑造企业形象、提高员工素质等方面进行了广泛的探索。</w:t>
      </w:r>
    </w:p>
    <w:p>
      <w:pPr>
        <w:ind w:firstLine="560" w:firstLineChars="200"/>
        <w:jc w:val="left"/>
        <w:rPr>
          <w:sz w:val="28"/>
          <w:szCs w:val="28"/>
        </w:rPr>
      </w:pPr>
      <w:r>
        <w:rPr>
          <w:rFonts w:hint="eastAsia"/>
          <w:sz w:val="28"/>
          <w:szCs w:val="28"/>
        </w:rPr>
        <w:t>近年来，公司建立起了符合公司发展战略，着力培育个性鲜明、时代感强、被全体职工认同的企业质量文化体系。通过企业质量文化的创建，内强企业素质，外塑企业形象，增强企业凝聚力，提高企业竞争力，实现企业质量文化与企业发展战略的和谐统一，企业发展与员工发展的和谐统一，企业质量文化优势与竞争优势的和谐统一，为公司的改革、发展、稳定提供强有力的文化支撑。</w:t>
      </w:r>
    </w:p>
    <w:p>
      <w:pPr>
        <w:pStyle w:val="2"/>
        <w:rPr>
          <w:sz w:val="36"/>
          <w:szCs w:val="36"/>
        </w:rPr>
      </w:pPr>
      <w:bookmarkStart w:id="22" w:name="_Toc496693330"/>
      <w:r>
        <w:rPr>
          <w:rFonts w:hint="eastAsia"/>
          <w:sz w:val="36"/>
          <w:szCs w:val="36"/>
        </w:rPr>
        <w:t>6、企业产</w:t>
      </w:r>
      <w:r>
        <w:rPr>
          <w:sz w:val="36"/>
          <w:szCs w:val="36"/>
        </w:rPr>
        <w:t>品标准</w:t>
      </w:r>
      <w:bookmarkEnd w:id="22"/>
    </w:p>
    <w:p>
      <w:pPr>
        <w:pStyle w:val="5"/>
        <w:spacing w:line="440" w:lineRule="exact"/>
        <w:rPr>
          <w:rFonts w:ascii="宋体" w:hAnsi="宋体"/>
          <w:b/>
          <w:bCs/>
          <w:sz w:val="24"/>
          <w:szCs w:val="21"/>
        </w:rPr>
      </w:pPr>
      <w:r>
        <w:rPr>
          <w:rFonts w:hint="eastAsia"/>
          <w:sz w:val="28"/>
          <w:szCs w:val="28"/>
        </w:rPr>
        <w:t>面对国内外市场的激烈竞争，我公司在严格按照行业标准进行生产管理及质量控制的同时，积极采用国际标准及国外标准，进行质量管理体系、生产工艺流程的建立及控制管理。从产品原材料采购、生产加工、组装及试验、售后服务这一条龙的生产管理上，公司秉承“客户为上   全员参与  持续创新   精益求精 ”的质量方针，严格控制生产流程每道工序，确保产品质量。目前所有生产的产品都是执行国家标准，同时企业制定了严于国家标准的内控企业标准，大大提高了公司的管理水平及产品质量，得到了广大国内、外客户的充分认可。</w:t>
      </w:r>
    </w:p>
    <w:p>
      <w:pPr>
        <w:pStyle w:val="2"/>
      </w:pPr>
      <w:bookmarkStart w:id="23" w:name="_Toc496693331"/>
      <w:r>
        <w:rPr>
          <w:rFonts w:hint="eastAsia"/>
        </w:rPr>
        <w:t>7、企业计量水平</w:t>
      </w:r>
      <w:bookmarkEnd w:id="23"/>
    </w:p>
    <w:p>
      <w:pPr>
        <w:ind w:firstLine="700" w:firstLineChars="250"/>
        <w:jc w:val="left"/>
        <w:rPr>
          <w:sz w:val="28"/>
          <w:szCs w:val="28"/>
        </w:rPr>
      </w:pPr>
      <w:r>
        <w:rPr>
          <w:rFonts w:hint="eastAsia"/>
          <w:sz w:val="28"/>
          <w:szCs w:val="28"/>
        </w:rPr>
        <w:t>公司建立了比较完善的计量检测体系，公司检验部门对公司所有使用的计量器具定期送检，做到了公司产品生产经营活动中计量的合规性、准确性。</w:t>
      </w:r>
    </w:p>
    <w:p>
      <w:pPr>
        <w:pStyle w:val="2"/>
      </w:pPr>
      <w:bookmarkStart w:id="24" w:name="_Toc496693332"/>
      <w:r>
        <w:rPr>
          <w:rFonts w:hint="eastAsia"/>
        </w:rPr>
        <w:t>8、认证认可情况</w:t>
      </w:r>
      <w:bookmarkEnd w:id="24"/>
    </w:p>
    <w:p>
      <w:pPr>
        <w:ind w:firstLine="555"/>
        <w:jc w:val="left"/>
        <w:rPr>
          <w:sz w:val="28"/>
          <w:szCs w:val="28"/>
        </w:rPr>
      </w:pPr>
      <w:r>
        <w:rPr>
          <w:rFonts w:hint="eastAsia"/>
          <w:sz w:val="28"/>
          <w:szCs w:val="28"/>
        </w:rPr>
        <w:t>8.1、产品质量认证情况：</w:t>
      </w:r>
    </w:p>
    <w:p>
      <w:pPr>
        <w:ind w:firstLine="555"/>
        <w:jc w:val="left"/>
        <w:rPr>
          <w:sz w:val="28"/>
          <w:szCs w:val="28"/>
        </w:rPr>
      </w:pPr>
      <w:r>
        <w:rPr>
          <w:rFonts w:hint="eastAsia"/>
          <w:sz w:val="28"/>
          <w:szCs w:val="28"/>
        </w:rPr>
        <w:t>参加认证的产品：</w:t>
      </w:r>
      <w:r>
        <w:rPr>
          <w:rFonts w:hint="eastAsia"/>
          <w:sz w:val="28"/>
          <w:szCs w:val="28"/>
          <w:lang w:val="en-US" w:eastAsia="zh-CN"/>
        </w:rPr>
        <w:t>实木地板</w:t>
      </w:r>
      <w:r>
        <w:rPr>
          <w:rFonts w:hint="eastAsia"/>
          <w:sz w:val="28"/>
          <w:szCs w:val="28"/>
        </w:rPr>
        <w:t>。</w:t>
      </w:r>
    </w:p>
    <w:p>
      <w:pPr>
        <w:ind w:firstLine="555"/>
        <w:jc w:val="left"/>
        <w:rPr>
          <w:sz w:val="28"/>
          <w:szCs w:val="28"/>
        </w:rPr>
      </w:pPr>
      <w:r>
        <w:rPr>
          <w:rFonts w:hint="eastAsia"/>
          <w:sz w:val="28"/>
          <w:szCs w:val="28"/>
        </w:rPr>
        <w:t>认证类型：</w:t>
      </w:r>
      <w:r>
        <w:rPr>
          <w:rFonts w:hint="eastAsia"/>
          <w:sz w:val="28"/>
          <w:szCs w:val="28"/>
          <w:lang w:eastAsia="zh-CN"/>
        </w:rPr>
        <w:t>形式检验</w:t>
      </w:r>
      <w:r>
        <w:rPr>
          <w:rFonts w:hint="eastAsia"/>
          <w:sz w:val="28"/>
          <w:szCs w:val="28"/>
        </w:rPr>
        <w:t>。</w:t>
      </w:r>
    </w:p>
    <w:p>
      <w:pPr>
        <w:ind w:firstLine="560" w:firstLineChars="200"/>
        <w:jc w:val="left"/>
        <w:rPr>
          <w:sz w:val="28"/>
          <w:szCs w:val="28"/>
        </w:rPr>
      </w:pPr>
      <w:r>
        <w:rPr>
          <w:rFonts w:hint="eastAsia"/>
          <w:sz w:val="28"/>
          <w:szCs w:val="28"/>
        </w:rPr>
        <w:t>8.2、其</w:t>
      </w:r>
      <w:r>
        <w:rPr>
          <w:sz w:val="28"/>
          <w:szCs w:val="28"/>
        </w:rPr>
        <w:t>他</w:t>
      </w:r>
      <w:r>
        <w:rPr>
          <w:rFonts w:hint="eastAsia"/>
          <w:sz w:val="28"/>
          <w:szCs w:val="28"/>
        </w:rPr>
        <w:t>相关认证情况：</w:t>
      </w:r>
    </w:p>
    <w:p>
      <w:pPr>
        <w:ind w:firstLine="560" w:firstLineChars="200"/>
        <w:jc w:val="left"/>
        <w:rPr>
          <w:sz w:val="28"/>
          <w:szCs w:val="28"/>
        </w:rPr>
      </w:pPr>
      <w:r>
        <w:rPr>
          <w:rFonts w:hint="eastAsia"/>
          <w:sz w:val="28"/>
          <w:szCs w:val="28"/>
        </w:rPr>
        <w:t>质量管理体系情况：执行</w:t>
      </w:r>
      <w:r>
        <w:rPr>
          <w:sz w:val="28"/>
          <w:szCs w:val="28"/>
        </w:rPr>
        <w:t>GB/T</w:t>
      </w:r>
      <w:r>
        <w:rPr>
          <w:rFonts w:hint="eastAsia"/>
          <w:sz w:val="28"/>
          <w:szCs w:val="28"/>
        </w:rPr>
        <w:t xml:space="preserve">19001-2016               </w:t>
      </w:r>
    </w:p>
    <w:p>
      <w:pPr>
        <w:ind w:firstLine="560" w:firstLineChars="200"/>
        <w:jc w:val="left"/>
        <w:rPr>
          <w:sz w:val="28"/>
          <w:szCs w:val="28"/>
        </w:rPr>
      </w:pPr>
      <w:r>
        <w:rPr>
          <w:rFonts w:hint="eastAsia"/>
          <w:sz w:val="28"/>
          <w:szCs w:val="28"/>
        </w:rPr>
        <w:t>环境管理体系情况：执行</w:t>
      </w:r>
      <w:r>
        <w:rPr>
          <w:sz w:val="28"/>
          <w:szCs w:val="28"/>
        </w:rPr>
        <w:t>GB/T</w:t>
      </w:r>
      <w:r>
        <w:rPr>
          <w:rFonts w:hint="eastAsia"/>
          <w:sz w:val="28"/>
          <w:szCs w:val="28"/>
        </w:rPr>
        <w:t>2</w:t>
      </w:r>
      <w:r>
        <w:rPr>
          <w:sz w:val="28"/>
          <w:szCs w:val="28"/>
        </w:rPr>
        <w:t>400</w:t>
      </w:r>
      <w:r>
        <w:rPr>
          <w:rFonts w:hint="eastAsia"/>
          <w:sz w:val="28"/>
          <w:szCs w:val="28"/>
        </w:rPr>
        <w:t>1-2016</w:t>
      </w:r>
    </w:p>
    <w:p>
      <w:pPr>
        <w:ind w:firstLine="560" w:firstLineChars="200"/>
        <w:jc w:val="left"/>
        <w:rPr>
          <w:rFonts w:hint="default" w:eastAsiaTheme="minorEastAsia"/>
          <w:sz w:val="28"/>
          <w:szCs w:val="28"/>
          <w:lang w:val="en-US" w:eastAsia="zh-CN"/>
        </w:rPr>
      </w:pPr>
      <w:r>
        <w:rPr>
          <w:rFonts w:hint="eastAsia"/>
          <w:sz w:val="28"/>
          <w:szCs w:val="28"/>
        </w:rPr>
        <w:t>职业健康安全管理体系情况：执行</w:t>
      </w:r>
      <w:r>
        <w:rPr>
          <w:sz w:val="28"/>
          <w:szCs w:val="28"/>
        </w:rPr>
        <w:t>GB/T</w:t>
      </w:r>
      <w:r>
        <w:rPr>
          <w:rFonts w:hint="eastAsia"/>
          <w:sz w:val="28"/>
          <w:szCs w:val="28"/>
          <w:lang w:val="en-US" w:eastAsia="zh-CN"/>
        </w:rPr>
        <w:t>45</w:t>
      </w:r>
      <w:r>
        <w:rPr>
          <w:sz w:val="28"/>
          <w:szCs w:val="28"/>
        </w:rPr>
        <w:t>001-20</w:t>
      </w:r>
      <w:r>
        <w:rPr>
          <w:rFonts w:hint="eastAsia"/>
          <w:sz w:val="28"/>
          <w:szCs w:val="28"/>
          <w:lang w:val="en-US" w:eastAsia="zh-CN"/>
        </w:rPr>
        <w:t>20</w:t>
      </w:r>
    </w:p>
    <w:p>
      <w:pPr>
        <w:pStyle w:val="2"/>
      </w:pPr>
      <w:bookmarkStart w:id="25" w:name="_Toc496693333"/>
      <w:r>
        <w:rPr>
          <w:rFonts w:hint="eastAsia"/>
        </w:rPr>
        <w:t>9、</w:t>
      </w:r>
      <w:r>
        <w:t>产品质量承</w:t>
      </w:r>
      <w:r>
        <w:rPr>
          <w:rFonts w:hint="eastAsia"/>
        </w:rPr>
        <w:t>诺</w:t>
      </w:r>
      <w:bookmarkEnd w:id="25"/>
    </w:p>
    <w:p>
      <w:pPr>
        <w:ind w:firstLine="560" w:firstLineChars="200"/>
        <w:jc w:val="left"/>
        <w:rPr>
          <w:sz w:val="28"/>
          <w:szCs w:val="28"/>
        </w:rPr>
      </w:pPr>
      <w:r>
        <w:rPr>
          <w:rFonts w:hint="eastAsia"/>
          <w:sz w:val="28"/>
          <w:szCs w:val="28"/>
        </w:rPr>
        <w:t>我公司生产的</w:t>
      </w:r>
      <w:r>
        <w:rPr>
          <w:rFonts w:hint="eastAsia"/>
          <w:sz w:val="28"/>
          <w:szCs w:val="28"/>
          <w:lang w:val="en-US" w:eastAsia="zh-CN"/>
        </w:rPr>
        <w:t>实木地板</w:t>
      </w:r>
      <w:r>
        <w:rPr>
          <w:rFonts w:hint="eastAsia"/>
          <w:sz w:val="28"/>
          <w:szCs w:val="28"/>
        </w:rPr>
        <w:t>具有严格的工序和成品检验程序并由质量监督检测机构对每一种规格进行抽检、出具检验报告。向用户提供产品的检测数据试验报告。对于出厂交付的产品质量承担保证责任，承担由此造成的所有经济损失。在产品服务过程中我们严格按照有关规定及合同认真履行我们的责任和义务，所提供的产品保证符合合同规定的数量、质量、规格和性能要求。</w:t>
      </w:r>
    </w:p>
    <w:p>
      <w:pPr>
        <w:pStyle w:val="2"/>
      </w:pPr>
      <w:bookmarkStart w:id="26" w:name="_Toc496693334"/>
      <w:r>
        <w:t>1</w:t>
      </w:r>
      <w:r>
        <w:rPr>
          <w:rFonts w:hint="eastAsia"/>
        </w:rPr>
        <w:t>0、“三包”责任</w:t>
      </w:r>
      <w:bookmarkEnd w:id="26"/>
    </w:p>
    <w:p>
      <w:pPr>
        <w:ind w:firstLine="700" w:firstLineChars="250"/>
        <w:jc w:val="left"/>
        <w:rPr>
          <w:sz w:val="28"/>
          <w:szCs w:val="28"/>
        </w:rPr>
      </w:pPr>
      <w:r>
        <w:rPr>
          <w:rFonts w:hint="eastAsia"/>
          <w:sz w:val="28"/>
          <w:szCs w:val="28"/>
        </w:rPr>
        <w:t>根据制造</w:t>
      </w:r>
      <w:r>
        <w:rPr>
          <w:sz w:val="28"/>
          <w:szCs w:val="28"/>
        </w:rPr>
        <w:t>业</w:t>
      </w:r>
      <w:r>
        <w:rPr>
          <w:rFonts w:hint="eastAsia"/>
          <w:sz w:val="28"/>
          <w:szCs w:val="28"/>
        </w:rPr>
        <w:t>产品的特点，公司制定有产品质量担保责任制度，履行更换、退货“三包”等产品责任和义务</w:t>
      </w:r>
    </w:p>
    <w:p>
      <w:pPr>
        <w:pStyle w:val="2"/>
      </w:pPr>
      <w:bookmarkStart w:id="27" w:name="_Toc448411653"/>
      <w:bookmarkStart w:id="28" w:name="_Toc496693335"/>
      <w:r>
        <w:rPr>
          <w:rFonts w:hint="eastAsia"/>
        </w:rPr>
        <w:t>11</w:t>
      </w:r>
      <w:bookmarkEnd w:id="27"/>
      <w:r>
        <w:t>质量投诉处</w:t>
      </w:r>
      <w:r>
        <w:rPr>
          <w:rFonts w:hint="eastAsia"/>
        </w:rPr>
        <w:t>理</w:t>
      </w:r>
      <w:bookmarkEnd w:id="28"/>
    </w:p>
    <w:p>
      <w:pPr>
        <w:ind w:firstLine="560" w:firstLineChars="200"/>
        <w:jc w:val="left"/>
        <w:rPr>
          <w:sz w:val="28"/>
          <w:szCs w:val="28"/>
        </w:rPr>
      </w:pPr>
      <w:r>
        <w:rPr>
          <w:rFonts w:hint="eastAsia"/>
          <w:sz w:val="28"/>
          <w:szCs w:val="28"/>
        </w:rPr>
        <w:t>为保证不断提高产品质量，提升公司质量服务水平，在公司ISO9001：20</w:t>
      </w:r>
      <w:r>
        <w:rPr>
          <w:rFonts w:hint="eastAsia"/>
          <w:sz w:val="28"/>
          <w:szCs w:val="28"/>
          <w:lang w:val="en-US" w:eastAsia="zh-CN"/>
        </w:rPr>
        <w:t>15</w:t>
      </w:r>
      <w:r>
        <w:rPr>
          <w:rFonts w:hint="eastAsia"/>
          <w:sz w:val="28"/>
          <w:szCs w:val="28"/>
        </w:rPr>
        <w:t>质量管理体系《与顾客有关的过程控制程</w:t>
      </w:r>
      <w:r>
        <w:rPr>
          <w:sz w:val="28"/>
          <w:szCs w:val="28"/>
        </w:rPr>
        <w:t>序</w:t>
      </w:r>
      <w:r>
        <w:rPr>
          <w:rFonts w:hint="eastAsia"/>
          <w:sz w:val="28"/>
          <w:szCs w:val="28"/>
        </w:rPr>
        <w:t>》中明确了顾客对产品的要求、评审及服务，通过顾客热线电话、顾客投诉、走访顾客与顾客直接沟通、定期的问卷调查等方式收集客户投诉或者潜在抱怨信息，通过对竞争对手的考察以及顾客对其他对手产品的评价，收集顾客对产品与服务期望，主动进行预防来减少顾客投诉。</w:t>
      </w:r>
    </w:p>
    <w:p>
      <w:pPr>
        <w:ind w:firstLine="560" w:firstLineChars="200"/>
        <w:jc w:val="left"/>
        <w:rPr>
          <w:sz w:val="28"/>
          <w:szCs w:val="28"/>
        </w:rPr>
      </w:pPr>
      <w:r>
        <w:rPr>
          <w:rFonts w:hint="eastAsia"/>
          <w:sz w:val="28"/>
          <w:szCs w:val="28"/>
        </w:rPr>
        <w:t>为此，制定了《顾客满意度测量控制程序》、《纠正和预防措施控制程序》等管理办法，建立健全了受理和处理产品质量和售后服务质量投诉的控制程序。设定营销部为产品售后服务主体，负责客户售前、售中、售后一切投诉接待、所有投诉处理的谐调和落实、监督管理以及顾客质量咨询和投诉。对顾客抱怨、投诉等信息进行了责任落实。同时每年进行一次顾客满意度调查，对顾客潜在不满进行分析，并将整改落实到责任部门。</w:t>
      </w:r>
    </w:p>
    <w:p>
      <w:pPr>
        <w:ind w:firstLine="560" w:firstLineChars="200"/>
        <w:jc w:val="left"/>
        <w:rPr>
          <w:sz w:val="28"/>
          <w:szCs w:val="28"/>
        </w:rPr>
      </w:pPr>
      <w:r>
        <w:rPr>
          <w:rFonts w:hint="eastAsia"/>
          <w:sz w:val="28"/>
          <w:szCs w:val="28"/>
        </w:rPr>
        <w:t>解决处理顾客投诉的过程也是产品性能和服务质量的提升过程，通过加强定期走访客户，主动与客户交流沟通对顾客报怨进行及时改进与沟通，提高顾客满意度。</w:t>
      </w:r>
    </w:p>
    <w:p>
      <w:pPr>
        <w:widowControl/>
        <w:shd w:val="clear" w:color="auto" w:fill="FFFFFF"/>
        <w:spacing w:line="330" w:lineRule="atLeast"/>
        <w:ind w:firstLine="560" w:firstLineChars="200"/>
        <w:jc w:val="left"/>
        <w:rPr>
          <w:sz w:val="28"/>
          <w:szCs w:val="28"/>
        </w:rPr>
      </w:pPr>
      <w:r>
        <w:rPr>
          <w:rFonts w:hint="eastAsia"/>
          <w:sz w:val="28"/>
          <w:szCs w:val="28"/>
        </w:rPr>
        <w:t>公司每年对顾客满意度进行一次问卷调查，调查内容包括产品质量、交货期、服务等方面，由顾客对产品要求和期望的各个方面内容做出评价，然后进行数据统计以确定下一步质量性能优化升级方向和销售服务质量的提升目标。</w:t>
      </w:r>
    </w:p>
    <w:p>
      <w:pPr>
        <w:pStyle w:val="2"/>
      </w:pPr>
      <w:bookmarkStart w:id="29" w:name="_Toc496693336"/>
      <w:r>
        <w:t>1</w:t>
      </w:r>
      <w:r>
        <w:rPr>
          <w:rFonts w:hint="eastAsia"/>
        </w:rPr>
        <w:t>2、</w:t>
      </w:r>
      <w:r>
        <w:t>质量风险监测</w:t>
      </w:r>
      <w:bookmarkEnd w:id="29"/>
    </w:p>
    <w:p>
      <w:pPr>
        <w:widowControl/>
        <w:shd w:val="clear" w:color="auto" w:fill="FFFFFF"/>
        <w:spacing w:line="330" w:lineRule="atLeast"/>
        <w:ind w:firstLine="560" w:firstLineChars="200"/>
        <w:jc w:val="left"/>
        <w:rPr>
          <w:rFonts w:cs="宋体" w:asciiTheme="minorEastAsia" w:hAnsiTheme="minorEastAsia"/>
          <w:kern w:val="0"/>
          <w:sz w:val="28"/>
          <w:szCs w:val="28"/>
        </w:rPr>
      </w:pPr>
      <w:r>
        <w:rPr>
          <w:rFonts w:hint="eastAsia" w:cs="宋体" w:asciiTheme="minorEastAsia" w:hAnsiTheme="minorEastAsia"/>
          <w:kern w:val="0"/>
          <w:sz w:val="28"/>
          <w:szCs w:val="28"/>
        </w:rPr>
        <w:t>公司不断完善和健全质量风险监测，定期总结、分析阶段性的质量状况，采取有针对性的解决方案，不断优化和改进质量管理的手段和关注点.定期分析质量状况,开展质量安全风险监测和分析评估，为生产质优、价优、稳定的优质产品提供系统保障，全面降低了质量安全风险。</w:t>
      </w:r>
    </w:p>
    <w:p>
      <w:pPr>
        <w:widowControl/>
        <w:shd w:val="clear" w:color="auto" w:fill="FFFFFF"/>
        <w:spacing w:line="330" w:lineRule="atLeast"/>
        <w:jc w:val="center"/>
        <w:rPr>
          <w:rFonts w:cs="宋体" w:asciiTheme="minorEastAsia" w:hAnsiTheme="minorEastAsia"/>
          <w:kern w:val="0"/>
          <w:sz w:val="28"/>
          <w:szCs w:val="28"/>
        </w:rPr>
      </w:pPr>
      <w:r>
        <w:rPr>
          <w:rFonts w:hint="eastAsia" w:cs="宋体" w:asciiTheme="minorEastAsia" w:hAnsiTheme="minorEastAsia"/>
          <w:kern w:val="0"/>
          <w:sz w:val="28"/>
          <w:szCs w:val="28"/>
        </w:rPr>
        <w:t>表</w:t>
      </w:r>
      <w:r>
        <w:rPr>
          <w:rFonts w:cs="宋体" w:asciiTheme="minorEastAsia" w:hAnsiTheme="minorEastAsia"/>
          <w:kern w:val="0"/>
          <w:sz w:val="28"/>
          <w:szCs w:val="28"/>
        </w:rPr>
        <w:t>2</w:t>
      </w:r>
      <w:r>
        <w:rPr>
          <w:rFonts w:hint="eastAsia" w:cs="宋体" w:asciiTheme="minorEastAsia" w:hAnsiTheme="minorEastAsia"/>
          <w:kern w:val="0"/>
          <w:sz w:val="28"/>
          <w:szCs w:val="28"/>
        </w:rPr>
        <w:t>：质量风险监测点及防范措施</w:t>
      </w:r>
    </w:p>
    <w:tbl>
      <w:tblPr>
        <w:tblStyle w:val="11"/>
        <w:tblW w:w="9510"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40"/>
        <w:gridCol w:w="1111"/>
        <w:gridCol w:w="3390"/>
        <w:gridCol w:w="4369"/>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640" w:type="dxa"/>
            <w:tcBorders>
              <w:top w:val="outset" w:color="auto" w:sz="6" w:space="0"/>
              <w:left w:val="outset" w:color="auto" w:sz="6" w:space="0"/>
              <w:bottom w:val="outset" w:color="auto" w:sz="6" w:space="0"/>
              <w:right w:val="outset" w:color="auto" w:sz="6" w:space="0"/>
            </w:tcBorders>
            <w:vAlign w:val="center"/>
          </w:tcPr>
          <w:p>
            <w:pPr>
              <w:widowControl/>
              <w:jc w:val="center"/>
              <w:rPr>
                <w:rFonts w:ascii="宋体" w:hAnsi="宋体" w:eastAsia="宋体" w:cs="宋体"/>
                <w:color w:val="C00000"/>
                <w:kern w:val="0"/>
                <w:sz w:val="24"/>
                <w:szCs w:val="24"/>
              </w:rPr>
            </w:pPr>
            <w:r>
              <w:rPr>
                <w:rFonts w:ascii="宋体" w:hAnsi="宋体" w:eastAsia="宋体" w:cs="宋体"/>
                <w:color w:val="C00000"/>
                <w:kern w:val="0"/>
                <w:sz w:val="24"/>
                <w:szCs w:val="24"/>
              </w:rPr>
              <w:t>序号</w:t>
            </w:r>
          </w:p>
        </w:tc>
        <w:tc>
          <w:tcPr>
            <w:tcW w:w="1111" w:type="dxa"/>
            <w:tcBorders>
              <w:top w:val="outset" w:color="auto" w:sz="6" w:space="0"/>
              <w:left w:val="outset" w:color="auto" w:sz="6" w:space="0"/>
              <w:bottom w:val="outset" w:color="auto" w:sz="6" w:space="0"/>
              <w:right w:val="outset" w:color="auto" w:sz="6" w:space="0"/>
            </w:tcBorders>
            <w:vAlign w:val="center"/>
          </w:tcPr>
          <w:p>
            <w:pPr>
              <w:widowControl/>
              <w:jc w:val="center"/>
              <w:rPr>
                <w:rFonts w:ascii="宋体" w:hAnsi="宋体" w:eastAsia="宋体" w:cs="宋体"/>
                <w:color w:val="C00000"/>
                <w:kern w:val="0"/>
                <w:sz w:val="24"/>
                <w:szCs w:val="24"/>
              </w:rPr>
            </w:pPr>
            <w:r>
              <w:rPr>
                <w:rFonts w:ascii="宋体" w:hAnsi="宋体" w:eastAsia="宋体" w:cs="宋体"/>
                <w:color w:val="C00000"/>
                <w:kern w:val="0"/>
                <w:sz w:val="24"/>
                <w:szCs w:val="24"/>
              </w:rPr>
              <w:t>生产流程</w:t>
            </w:r>
          </w:p>
        </w:tc>
        <w:tc>
          <w:tcPr>
            <w:tcW w:w="3390" w:type="dxa"/>
            <w:tcBorders>
              <w:top w:val="outset" w:color="auto" w:sz="6" w:space="0"/>
              <w:left w:val="outset" w:color="auto" w:sz="6" w:space="0"/>
              <w:bottom w:val="outset" w:color="auto" w:sz="6" w:space="0"/>
              <w:right w:val="outset" w:color="auto" w:sz="6" w:space="0"/>
            </w:tcBorders>
            <w:vAlign w:val="center"/>
          </w:tcPr>
          <w:p>
            <w:pPr>
              <w:widowControl/>
              <w:jc w:val="center"/>
              <w:rPr>
                <w:rFonts w:ascii="宋体" w:hAnsi="宋体" w:eastAsia="宋体" w:cs="宋体"/>
                <w:color w:val="C00000"/>
                <w:kern w:val="0"/>
                <w:sz w:val="24"/>
                <w:szCs w:val="24"/>
              </w:rPr>
            </w:pPr>
            <w:r>
              <w:rPr>
                <w:rFonts w:ascii="宋体" w:hAnsi="宋体" w:eastAsia="宋体" w:cs="宋体"/>
                <w:color w:val="C00000"/>
                <w:kern w:val="0"/>
                <w:sz w:val="24"/>
                <w:szCs w:val="24"/>
              </w:rPr>
              <w:t>风险监测点</w:t>
            </w:r>
          </w:p>
        </w:tc>
        <w:tc>
          <w:tcPr>
            <w:tcW w:w="4369" w:type="dxa"/>
            <w:tcBorders>
              <w:top w:val="outset" w:color="auto" w:sz="6" w:space="0"/>
              <w:left w:val="outset" w:color="auto" w:sz="6" w:space="0"/>
              <w:bottom w:val="outset" w:color="auto" w:sz="6" w:space="0"/>
              <w:right w:val="outset" w:color="auto" w:sz="6" w:space="0"/>
            </w:tcBorders>
            <w:vAlign w:val="center"/>
          </w:tcPr>
          <w:p>
            <w:pPr>
              <w:widowControl/>
              <w:jc w:val="center"/>
              <w:rPr>
                <w:rFonts w:ascii="宋体" w:hAnsi="宋体" w:eastAsia="宋体" w:cs="宋体"/>
                <w:color w:val="C00000"/>
                <w:kern w:val="0"/>
                <w:sz w:val="24"/>
                <w:szCs w:val="24"/>
              </w:rPr>
            </w:pPr>
            <w:r>
              <w:rPr>
                <w:rFonts w:ascii="宋体" w:hAnsi="宋体" w:eastAsia="宋体" w:cs="宋体"/>
                <w:color w:val="C00000"/>
                <w:kern w:val="0"/>
                <w:sz w:val="24"/>
                <w:szCs w:val="24"/>
              </w:rPr>
              <w:t>防范措施</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640" w:type="dxa"/>
            <w:tcBorders>
              <w:top w:val="outset" w:color="auto" w:sz="6" w:space="0"/>
              <w:left w:val="outset" w:color="auto" w:sz="6" w:space="0"/>
              <w:bottom w:val="outset" w:color="auto" w:sz="6" w:space="0"/>
              <w:right w:val="outset" w:color="auto" w:sz="6" w:space="0"/>
            </w:tcBorders>
            <w:vAlign w:val="center"/>
          </w:tcPr>
          <w:p>
            <w:pPr>
              <w:widowControl/>
              <w:jc w:val="center"/>
              <w:rPr>
                <w:rFonts w:ascii="宋体" w:hAnsi="宋体" w:eastAsia="宋体" w:cs="宋体"/>
                <w:color w:val="C00000"/>
                <w:kern w:val="0"/>
                <w:sz w:val="24"/>
                <w:szCs w:val="24"/>
              </w:rPr>
            </w:pPr>
            <w:r>
              <w:rPr>
                <w:rFonts w:ascii="宋体" w:hAnsi="宋体" w:eastAsia="宋体" w:cs="宋体"/>
                <w:color w:val="C00000"/>
                <w:kern w:val="0"/>
                <w:sz w:val="24"/>
                <w:szCs w:val="24"/>
              </w:rPr>
              <w:t>1</w:t>
            </w:r>
          </w:p>
        </w:tc>
        <w:tc>
          <w:tcPr>
            <w:tcW w:w="1111" w:type="dxa"/>
            <w:tcBorders>
              <w:top w:val="outset" w:color="auto" w:sz="6" w:space="0"/>
              <w:left w:val="outset" w:color="auto" w:sz="6" w:space="0"/>
              <w:bottom w:val="outset" w:color="auto" w:sz="6" w:space="0"/>
              <w:right w:val="outset" w:color="auto" w:sz="6" w:space="0"/>
            </w:tcBorders>
            <w:vAlign w:val="center"/>
          </w:tcPr>
          <w:p>
            <w:pPr>
              <w:widowControl/>
              <w:jc w:val="left"/>
              <w:rPr>
                <w:rFonts w:ascii="宋体" w:hAnsi="宋体" w:eastAsia="宋体" w:cs="宋体"/>
                <w:color w:val="C00000"/>
                <w:kern w:val="0"/>
                <w:sz w:val="24"/>
                <w:szCs w:val="24"/>
              </w:rPr>
            </w:pPr>
            <w:r>
              <w:rPr>
                <w:rFonts w:ascii="宋体" w:hAnsi="宋体" w:eastAsia="宋体" w:cs="宋体"/>
                <w:kern w:val="0"/>
                <w:sz w:val="24"/>
                <w:szCs w:val="24"/>
              </w:rPr>
              <w:t>原辅材料验收、使用</w:t>
            </w:r>
          </w:p>
        </w:tc>
        <w:tc>
          <w:tcPr>
            <w:tcW w:w="3390" w:type="dxa"/>
            <w:tcBorders>
              <w:top w:val="outset" w:color="auto" w:sz="6" w:space="0"/>
              <w:left w:val="outset" w:color="auto" w:sz="6" w:space="0"/>
              <w:bottom w:val="outset" w:color="auto" w:sz="6" w:space="0"/>
              <w:right w:val="outset" w:color="auto" w:sz="6" w:space="0"/>
            </w:tcBorders>
            <w:vAlign w:val="center"/>
          </w:tcPr>
          <w:p>
            <w:pPr>
              <w:widowControl/>
              <w:jc w:val="left"/>
              <w:rPr>
                <w:rFonts w:ascii="宋体" w:hAnsi="宋体" w:eastAsia="宋体" w:cs="宋体"/>
                <w:kern w:val="0"/>
                <w:sz w:val="24"/>
                <w:szCs w:val="24"/>
              </w:rPr>
            </w:pPr>
            <w:r>
              <w:rPr>
                <w:rFonts w:ascii="宋体" w:hAnsi="宋体" w:eastAsia="宋体" w:cs="宋体"/>
                <w:kern w:val="0"/>
                <w:sz w:val="24"/>
                <w:szCs w:val="24"/>
              </w:rPr>
              <w:t>1、进厂原辅材料质量波动大             </w:t>
            </w:r>
          </w:p>
          <w:p>
            <w:pPr>
              <w:widowControl/>
              <w:jc w:val="left"/>
              <w:rPr>
                <w:rFonts w:ascii="宋体" w:hAnsi="宋体" w:eastAsia="宋体" w:cs="宋体"/>
                <w:color w:val="C00000"/>
                <w:kern w:val="0"/>
                <w:sz w:val="24"/>
                <w:szCs w:val="24"/>
              </w:rPr>
            </w:pPr>
            <w:r>
              <w:rPr>
                <w:rFonts w:ascii="宋体" w:hAnsi="宋体" w:eastAsia="宋体" w:cs="宋体"/>
                <w:kern w:val="0"/>
                <w:sz w:val="24"/>
                <w:szCs w:val="24"/>
              </w:rPr>
              <w:t>2、检验结果存在偏差</w:t>
            </w:r>
          </w:p>
        </w:tc>
        <w:tc>
          <w:tcPr>
            <w:tcW w:w="4369" w:type="dxa"/>
            <w:tcBorders>
              <w:top w:val="outset" w:color="auto" w:sz="6" w:space="0"/>
              <w:left w:val="outset" w:color="auto" w:sz="6" w:space="0"/>
              <w:bottom w:val="outset" w:color="auto" w:sz="6" w:space="0"/>
              <w:right w:val="outset" w:color="auto" w:sz="6" w:space="0"/>
            </w:tcBorders>
            <w:vAlign w:val="top"/>
          </w:tcPr>
          <w:p>
            <w:pPr>
              <w:widowControl/>
              <w:jc w:val="left"/>
              <w:rPr>
                <w:rFonts w:ascii="宋体" w:hAnsi="宋体" w:eastAsia="宋体" w:cs="宋体"/>
                <w:kern w:val="0"/>
                <w:sz w:val="24"/>
                <w:szCs w:val="24"/>
              </w:rPr>
            </w:pPr>
            <w:r>
              <w:rPr>
                <w:rFonts w:ascii="宋体" w:hAnsi="宋体" w:eastAsia="宋体" w:cs="宋体"/>
                <w:kern w:val="0"/>
                <w:sz w:val="24"/>
                <w:szCs w:val="24"/>
              </w:rPr>
              <w:t>1、加强进厂采购质量、验收监管，对供方进行评价，坚决取缔不合格供方。</w:t>
            </w:r>
          </w:p>
          <w:p>
            <w:pPr>
              <w:widowControl/>
              <w:jc w:val="left"/>
              <w:rPr>
                <w:rFonts w:ascii="宋体" w:hAnsi="宋体" w:eastAsia="宋体" w:cs="宋体"/>
                <w:kern w:val="0"/>
                <w:sz w:val="24"/>
                <w:szCs w:val="24"/>
              </w:rPr>
            </w:pPr>
            <w:r>
              <w:rPr>
                <w:rFonts w:ascii="宋体" w:hAnsi="宋体" w:eastAsia="宋体" w:cs="宋体"/>
                <w:kern w:val="0"/>
                <w:sz w:val="24"/>
                <w:szCs w:val="24"/>
              </w:rPr>
              <w:t>2、加强过程监管与考核处罚力度。</w:t>
            </w:r>
          </w:p>
          <w:p>
            <w:pPr>
              <w:widowControl/>
              <w:jc w:val="left"/>
              <w:rPr>
                <w:rFonts w:ascii="宋体" w:hAnsi="宋体" w:eastAsia="宋体" w:cs="宋体"/>
                <w:color w:val="C00000"/>
                <w:kern w:val="0"/>
                <w:sz w:val="24"/>
                <w:szCs w:val="24"/>
              </w:rPr>
            </w:pPr>
            <w:r>
              <w:rPr>
                <w:rFonts w:ascii="宋体" w:hAnsi="宋体" w:eastAsia="宋体" w:cs="宋体"/>
                <w:kern w:val="0"/>
                <w:sz w:val="24"/>
                <w:szCs w:val="24"/>
              </w:rPr>
              <w:t>3、规范取样、制样和检验过程，建立留样、检验、抽检机制，验证取样代表性、检验准确性。</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640" w:type="dxa"/>
            <w:tcBorders>
              <w:top w:val="outset" w:color="auto" w:sz="6" w:space="0"/>
              <w:left w:val="outset" w:color="auto" w:sz="6" w:space="0"/>
              <w:bottom w:val="outset" w:color="auto" w:sz="6" w:space="0"/>
              <w:right w:val="outset" w:color="auto" w:sz="6" w:space="0"/>
            </w:tcBorders>
            <w:vAlign w:val="center"/>
          </w:tcPr>
          <w:p>
            <w:pPr>
              <w:widowControl/>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1111" w:type="dxa"/>
            <w:tcBorders>
              <w:top w:val="outset" w:color="auto" w:sz="6" w:space="0"/>
              <w:left w:val="outset" w:color="auto" w:sz="6" w:space="0"/>
              <w:bottom w:val="outset" w:color="auto" w:sz="6" w:space="0"/>
              <w:right w:val="outset" w:color="auto" w:sz="6" w:space="0"/>
            </w:tcBorders>
            <w:vAlign w:val="center"/>
          </w:tcPr>
          <w:p>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喷漆</w:t>
            </w:r>
          </w:p>
        </w:tc>
        <w:tc>
          <w:tcPr>
            <w:tcW w:w="3390" w:type="dxa"/>
            <w:tcBorders>
              <w:top w:val="outset" w:color="auto" w:sz="6" w:space="0"/>
              <w:left w:val="outset" w:color="auto" w:sz="6" w:space="0"/>
              <w:bottom w:val="outset" w:color="auto" w:sz="6" w:space="0"/>
              <w:right w:val="outset" w:color="auto" w:sz="6" w:space="0"/>
            </w:tcBorders>
            <w:vAlign w:val="center"/>
          </w:tcPr>
          <w:p>
            <w:pPr>
              <w:widowControl/>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喷漆不均匀</w:t>
            </w:r>
          </w:p>
          <w:p>
            <w:pPr>
              <w:widowControl/>
              <w:jc w:val="left"/>
              <w:rPr>
                <w:rFonts w:ascii="宋体" w:hAnsi="宋体" w:eastAsia="宋体" w:cs="宋体"/>
                <w:kern w:val="0"/>
                <w:sz w:val="24"/>
                <w:szCs w:val="24"/>
              </w:rPr>
            </w:pPr>
          </w:p>
        </w:tc>
        <w:tc>
          <w:tcPr>
            <w:tcW w:w="4369" w:type="dxa"/>
            <w:tcBorders>
              <w:top w:val="outset" w:color="auto" w:sz="6" w:space="0"/>
              <w:left w:val="outset" w:color="auto" w:sz="6" w:space="0"/>
              <w:bottom w:val="outset" w:color="auto" w:sz="6" w:space="0"/>
              <w:right w:val="outset" w:color="auto" w:sz="6" w:space="0"/>
            </w:tcBorders>
            <w:vAlign w:val="top"/>
          </w:tcPr>
          <w:p>
            <w:pPr>
              <w:widowControl/>
              <w:numPr>
                <w:ilvl w:val="0"/>
                <w:numId w:val="1"/>
              </w:numPr>
              <w:ind w:left="360" w:hanging="360" w:hangingChars="150"/>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做好喷漆监控记录。</w:t>
            </w:r>
          </w:p>
          <w:p>
            <w:pPr>
              <w:widowControl/>
              <w:numPr>
                <w:ilvl w:val="0"/>
                <w:numId w:val="1"/>
              </w:numPr>
              <w:ind w:left="360" w:leftChars="0" w:hanging="360" w:hangingChars="150"/>
              <w:jc w:val="left"/>
              <w:rPr>
                <w:rFonts w:ascii="宋体" w:hAnsi="宋体" w:eastAsia="宋体" w:cs="宋体"/>
                <w:color w:val="C00000"/>
                <w:kern w:val="0"/>
                <w:sz w:val="24"/>
                <w:szCs w:val="24"/>
              </w:rPr>
            </w:pPr>
            <w:r>
              <w:rPr>
                <w:rFonts w:hint="eastAsia" w:ascii="宋体" w:hAnsi="宋体" w:eastAsia="宋体" w:cs="宋体"/>
                <w:kern w:val="0"/>
                <w:sz w:val="24"/>
                <w:szCs w:val="24"/>
                <w:lang w:val="en-US" w:eastAsia="zh-CN"/>
              </w:rPr>
              <w:t>加强员工操作培训，日常检查需认真负责</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blCellSpacing w:w="0" w:type="dxa"/>
          <w:jc w:val="center"/>
        </w:trPr>
        <w:tc>
          <w:tcPr>
            <w:tcW w:w="640" w:type="dxa"/>
            <w:tcBorders>
              <w:top w:val="outset" w:color="auto" w:sz="6" w:space="0"/>
              <w:left w:val="outset" w:color="auto" w:sz="6" w:space="0"/>
              <w:bottom w:val="outset" w:color="auto" w:sz="6" w:space="0"/>
              <w:right w:val="outset" w:color="auto" w:sz="6" w:space="0"/>
            </w:tcBorders>
            <w:vAlign w:val="center"/>
          </w:tcPr>
          <w:p>
            <w:pPr>
              <w:widowControl/>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1111" w:type="dxa"/>
            <w:tcBorders>
              <w:top w:val="outset" w:color="auto" w:sz="6" w:space="0"/>
              <w:left w:val="outset" w:color="auto" w:sz="6" w:space="0"/>
              <w:bottom w:val="outset" w:color="auto" w:sz="6" w:space="0"/>
              <w:right w:val="outset" w:color="auto" w:sz="6" w:space="0"/>
            </w:tcBorders>
            <w:vAlign w:val="center"/>
          </w:tcPr>
          <w:p>
            <w:pPr>
              <w:widowControl/>
              <w:jc w:val="left"/>
              <w:rPr>
                <w:rFonts w:ascii="宋体" w:hAnsi="宋体" w:eastAsia="宋体" w:cs="宋体"/>
                <w:kern w:val="0"/>
                <w:sz w:val="24"/>
                <w:szCs w:val="24"/>
              </w:rPr>
            </w:pPr>
            <w:r>
              <w:rPr>
                <w:rFonts w:ascii="宋体" w:hAnsi="宋体" w:eastAsia="宋体" w:cs="宋体"/>
                <w:kern w:val="0"/>
                <w:sz w:val="24"/>
                <w:szCs w:val="24"/>
              </w:rPr>
              <w:t>产品包装</w:t>
            </w:r>
            <w:r>
              <w:rPr>
                <w:rFonts w:hint="eastAsia" w:ascii="宋体" w:hAnsi="宋体" w:eastAsia="宋体" w:cs="宋体"/>
                <w:kern w:val="0"/>
                <w:sz w:val="24"/>
                <w:szCs w:val="24"/>
              </w:rPr>
              <w:t>入</w:t>
            </w:r>
            <w:r>
              <w:rPr>
                <w:rFonts w:ascii="宋体" w:hAnsi="宋体" w:eastAsia="宋体" w:cs="宋体"/>
                <w:kern w:val="0"/>
                <w:sz w:val="24"/>
                <w:szCs w:val="24"/>
              </w:rPr>
              <w:t>库、出厂</w:t>
            </w:r>
          </w:p>
        </w:tc>
        <w:tc>
          <w:tcPr>
            <w:tcW w:w="3390" w:type="dxa"/>
            <w:tcBorders>
              <w:top w:val="outset" w:color="auto" w:sz="6" w:space="0"/>
              <w:left w:val="outset" w:color="auto" w:sz="6" w:space="0"/>
              <w:bottom w:val="outset" w:color="auto" w:sz="6" w:space="0"/>
              <w:right w:val="outset" w:color="auto" w:sz="6" w:space="0"/>
            </w:tcBorders>
            <w:vAlign w:val="center"/>
          </w:tcPr>
          <w:p>
            <w:pPr>
              <w:widowControl/>
              <w:jc w:val="left"/>
              <w:rPr>
                <w:rFonts w:ascii="宋体" w:hAnsi="宋体" w:eastAsia="宋体" w:cs="宋体"/>
                <w:kern w:val="0"/>
                <w:sz w:val="24"/>
                <w:szCs w:val="24"/>
              </w:rPr>
            </w:pPr>
            <w:r>
              <w:rPr>
                <w:rFonts w:ascii="宋体" w:hAnsi="宋体" w:eastAsia="宋体" w:cs="宋体"/>
                <w:kern w:val="0"/>
                <w:sz w:val="24"/>
                <w:szCs w:val="24"/>
              </w:rPr>
              <w:t>1</w:t>
            </w:r>
            <w:r>
              <w:rPr>
                <w:rFonts w:hint="eastAsia" w:ascii="宋体" w:hAnsi="宋体" w:eastAsia="宋体" w:cs="宋体"/>
                <w:kern w:val="0"/>
                <w:sz w:val="24"/>
                <w:szCs w:val="24"/>
              </w:rPr>
              <w:t>、成</w:t>
            </w:r>
            <w:r>
              <w:rPr>
                <w:rFonts w:ascii="宋体" w:hAnsi="宋体" w:eastAsia="宋体" w:cs="宋体"/>
                <w:kern w:val="0"/>
                <w:sz w:val="24"/>
                <w:szCs w:val="24"/>
              </w:rPr>
              <w:t>品库管</w:t>
            </w:r>
            <w:r>
              <w:rPr>
                <w:rFonts w:hint="eastAsia" w:ascii="宋体" w:hAnsi="宋体" w:eastAsia="宋体" w:cs="宋体"/>
                <w:kern w:val="0"/>
                <w:sz w:val="24"/>
                <w:szCs w:val="24"/>
              </w:rPr>
              <w:t>理</w:t>
            </w:r>
            <w:r>
              <w:rPr>
                <w:rFonts w:ascii="宋体" w:hAnsi="宋体" w:eastAsia="宋体" w:cs="宋体"/>
                <w:kern w:val="0"/>
                <w:sz w:val="24"/>
                <w:szCs w:val="24"/>
              </w:rPr>
              <w:t>员</w:t>
            </w:r>
            <w:r>
              <w:rPr>
                <w:rFonts w:hint="eastAsia" w:ascii="宋体" w:hAnsi="宋体" w:eastAsia="宋体" w:cs="宋体"/>
                <w:kern w:val="0"/>
                <w:sz w:val="24"/>
                <w:szCs w:val="24"/>
              </w:rPr>
              <w:t>未</w:t>
            </w:r>
            <w:r>
              <w:rPr>
                <w:rFonts w:ascii="宋体" w:hAnsi="宋体" w:eastAsia="宋体" w:cs="宋体"/>
                <w:kern w:val="0"/>
                <w:sz w:val="24"/>
                <w:szCs w:val="24"/>
              </w:rPr>
              <w:t>按要求分级入库</w:t>
            </w:r>
          </w:p>
          <w:p>
            <w:pPr>
              <w:widowControl/>
              <w:jc w:val="left"/>
              <w:rPr>
                <w:rFonts w:hint="eastAsia" w:ascii="宋体" w:hAnsi="宋体" w:eastAsia="宋体" w:cs="宋体"/>
                <w:kern w:val="0"/>
                <w:sz w:val="24"/>
                <w:szCs w:val="24"/>
              </w:rPr>
            </w:pPr>
            <w:r>
              <w:rPr>
                <w:rFonts w:hint="eastAsia" w:ascii="宋体" w:hAnsi="宋体" w:eastAsia="宋体" w:cs="宋体"/>
                <w:kern w:val="0"/>
                <w:sz w:val="24"/>
                <w:szCs w:val="24"/>
              </w:rPr>
              <w:t>2、标</w:t>
            </w:r>
            <w:r>
              <w:rPr>
                <w:rFonts w:ascii="宋体" w:hAnsi="宋体" w:eastAsia="宋体" w:cs="宋体"/>
                <w:kern w:val="0"/>
                <w:sz w:val="24"/>
                <w:szCs w:val="24"/>
              </w:rPr>
              <w:t>识粘错</w:t>
            </w:r>
          </w:p>
        </w:tc>
        <w:tc>
          <w:tcPr>
            <w:tcW w:w="4369" w:type="dxa"/>
            <w:tcBorders>
              <w:top w:val="outset" w:color="auto" w:sz="6" w:space="0"/>
              <w:left w:val="outset" w:color="auto" w:sz="6" w:space="0"/>
              <w:bottom w:val="outset" w:color="auto" w:sz="6" w:space="0"/>
              <w:right w:val="outset" w:color="auto" w:sz="6" w:space="0"/>
            </w:tcBorders>
            <w:vAlign w:val="top"/>
          </w:tcPr>
          <w:p>
            <w:pPr>
              <w:widowControl/>
              <w:ind w:left="360" w:hanging="360" w:hangingChars="150"/>
              <w:jc w:val="left"/>
              <w:rPr>
                <w:rFonts w:ascii="宋体" w:hAnsi="宋体" w:eastAsia="宋体" w:cs="宋体"/>
                <w:kern w:val="0"/>
                <w:sz w:val="24"/>
                <w:szCs w:val="24"/>
              </w:rPr>
            </w:pPr>
            <w:r>
              <w:rPr>
                <w:rFonts w:ascii="宋体" w:hAnsi="宋体" w:eastAsia="宋体" w:cs="宋体"/>
                <w:kern w:val="0"/>
                <w:sz w:val="24"/>
                <w:szCs w:val="24"/>
              </w:rPr>
              <w:t>1、</w:t>
            </w:r>
            <w:r>
              <w:rPr>
                <w:rFonts w:hint="eastAsia" w:ascii="宋体" w:hAnsi="宋体" w:eastAsia="宋体" w:cs="宋体"/>
                <w:kern w:val="0"/>
                <w:sz w:val="24"/>
                <w:szCs w:val="24"/>
              </w:rPr>
              <w:t>成</w:t>
            </w:r>
            <w:r>
              <w:rPr>
                <w:rFonts w:ascii="宋体" w:hAnsi="宋体" w:eastAsia="宋体" w:cs="宋体"/>
                <w:kern w:val="0"/>
                <w:sz w:val="24"/>
                <w:szCs w:val="24"/>
              </w:rPr>
              <w:t>品库管</w:t>
            </w:r>
            <w:r>
              <w:rPr>
                <w:rFonts w:hint="eastAsia" w:ascii="宋体" w:hAnsi="宋体" w:eastAsia="宋体" w:cs="宋体"/>
                <w:kern w:val="0"/>
                <w:sz w:val="24"/>
                <w:szCs w:val="24"/>
              </w:rPr>
              <w:t>理</w:t>
            </w:r>
            <w:r>
              <w:rPr>
                <w:rFonts w:ascii="宋体" w:hAnsi="宋体" w:eastAsia="宋体" w:cs="宋体"/>
                <w:kern w:val="0"/>
                <w:sz w:val="24"/>
                <w:szCs w:val="24"/>
              </w:rPr>
              <w:t>员按要求分级入库，无不分级现象发生</w:t>
            </w:r>
            <w:r>
              <w:rPr>
                <w:rFonts w:hint="eastAsia" w:ascii="宋体" w:hAnsi="宋体" w:eastAsia="宋体" w:cs="宋体"/>
                <w:kern w:val="0"/>
                <w:sz w:val="24"/>
                <w:szCs w:val="24"/>
              </w:rPr>
              <w:t>。</w:t>
            </w:r>
          </w:p>
          <w:p>
            <w:pPr>
              <w:widowControl/>
              <w:ind w:left="360" w:leftChars="0" w:hanging="360" w:hangingChars="150"/>
              <w:jc w:val="left"/>
              <w:rPr>
                <w:rFonts w:ascii="宋体" w:hAnsi="宋体" w:eastAsia="宋体" w:cs="宋体"/>
                <w:color w:val="C00000"/>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检验</w:t>
            </w:r>
            <w:r>
              <w:rPr>
                <w:rFonts w:ascii="宋体" w:hAnsi="宋体" w:eastAsia="宋体" w:cs="宋体"/>
                <w:kern w:val="0"/>
                <w:sz w:val="24"/>
                <w:szCs w:val="24"/>
              </w:rPr>
              <w:t>员对标识的出厂编号、生产日期等内容认真检查，确保其正确。</w:t>
            </w:r>
          </w:p>
        </w:tc>
      </w:tr>
    </w:tbl>
    <w:p>
      <w:pPr>
        <w:pStyle w:val="2"/>
        <w:jc w:val="both"/>
        <w:rPr>
          <w:rFonts w:hint="eastAsia"/>
        </w:rPr>
      </w:pPr>
      <w:bookmarkStart w:id="30" w:name="_Toc496693337"/>
    </w:p>
    <w:p>
      <w:pPr>
        <w:pStyle w:val="2"/>
        <w:jc w:val="both"/>
      </w:pPr>
      <w:r>
        <w:rPr>
          <w:rFonts w:hint="eastAsia"/>
        </w:rPr>
        <w:t>展望</w:t>
      </w:r>
      <w:bookmarkEnd w:id="30"/>
    </w:p>
    <w:p>
      <w:pPr>
        <w:ind w:firstLine="560" w:firstLineChars="200"/>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质量管理是企业的生命，信用是企业的根本，也是制约企业发展的根本因素之一，没有一劳永逸的质量，只有持续改进的质量管理系统，良好的信用需要卓越的质量支撑，需要优秀的服务维系，未来公司将以强烈的责任感和高度的使命感来扎实推进质量管理，稳固维护企业信用。以卓越的产品质量占领市场，以良好的信誉留住顾客，推进质量管理体系的持续改进和高效运行，全面强化全员维护品牌形象，将“质量就是生命”、“信用就是根本”的工作理念，付诸于行动，通过进一步开展降低成本增加效益、管理提升活动，将《质量发展纲要》的精髓实践于整个企业生产工序中，落实在过程质量监管上，不断提高工作责任心和管控力度，为广大顾客提供优质产品和服务，坚决履行企业的质量主体责任，以质量为根、诚信为本，向质量要效益、促发展，真正达到诚信经营、以质取胜。</w:t>
      </w:r>
    </w:p>
    <w:p>
      <w:pPr>
        <w:jc w:val="left"/>
        <w:rPr>
          <w:rFonts w:asciiTheme="minorEastAsia" w:hAnsiTheme="minorEastAsia"/>
          <w:color w:val="000000" w:themeColor="text1"/>
          <w:sz w:val="28"/>
          <w:szCs w:val="28"/>
        </w:rPr>
      </w:pPr>
    </w:p>
    <w:p>
      <w:pPr>
        <w:pStyle w:val="2"/>
        <w:rPr>
          <w:rFonts w:hint="eastAsia"/>
        </w:rPr>
      </w:pPr>
      <w:bookmarkStart w:id="31" w:name="_Toc496693338"/>
    </w:p>
    <w:p>
      <w:pPr>
        <w:rPr>
          <w:rFonts w:hint="eastAsia"/>
        </w:rPr>
      </w:pPr>
    </w:p>
    <w:p>
      <w:pPr>
        <w:rPr>
          <w:rFonts w:hint="eastAsia"/>
        </w:rPr>
      </w:pPr>
    </w:p>
    <w:p>
      <w:pPr>
        <w:rPr>
          <w:rFonts w:hint="eastAsia"/>
        </w:rPr>
      </w:pPr>
    </w:p>
    <w:p>
      <w:pPr>
        <w:rPr>
          <w:rFonts w:hint="eastAsia"/>
        </w:rPr>
      </w:pPr>
    </w:p>
    <w:p>
      <w:pPr>
        <w:rPr>
          <w:rFonts w:hint="eastAsia"/>
        </w:rPr>
      </w:pPr>
    </w:p>
    <w:p>
      <w:pPr>
        <w:pStyle w:val="2"/>
        <w:rPr>
          <w:rFonts w:hint="eastAsia"/>
        </w:rPr>
      </w:pPr>
    </w:p>
    <w:p>
      <w:pPr>
        <w:pStyle w:val="2"/>
      </w:pPr>
      <w:r>
        <w:rPr>
          <w:rFonts w:hint="eastAsia"/>
        </w:rPr>
        <w:t>读者意见反馈</w:t>
      </w:r>
      <w:bookmarkEnd w:id="31"/>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尊敬的读者：</w:t>
      </w:r>
    </w:p>
    <w:p>
      <w:pPr>
        <w:ind w:firstLine="560" w:firstLineChars="200"/>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您好！感谢您抽出宝贵时间阅读本报告，这是我们发布的第一份质量信用报告，由于时间仓促，水平有限，报告编写中难免有疏漏或者不足之处，敬请指正。同时，为进一步提升我们质量信用主体责任工作落实的质量，请您多提宝贵意见和建议，我们会不断改进、以臻完善。</w:t>
      </w:r>
    </w:p>
    <w:p>
      <w:pPr>
        <w:ind w:firstLine="560" w:firstLineChars="200"/>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谢谢！</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您的评价</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1、您对本报告整体上：</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 很满意       □ 比较满意   □ 一般    □ 不满意 </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2、您认为本报告的结构：</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 很合理       □ 比较合理   □ 一般    □ 不合理</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3、您认为本报告披露的内容：</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 很全面       □ 比较全面   □ 一般    □ 不全面</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4、您认为关于质量信用的报告是否详尽：</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 很详尽       □ 比较详尽   □ 一般    □ 不详尽</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5、您对本公司产品质量信用：</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 很满意       □ 比较满意   □ 一般    □ 不满意</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6、您认为报告中还需要补充哪方面的内容？</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     7、您对本公司产品质量信用有何建议、意见？</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您的信息</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姓    名：</w:t>
      </w:r>
      <w:r>
        <w:rPr>
          <w:rFonts w:hint="eastAsia" w:asciiTheme="minorEastAsia" w:hAnsiTheme="minorEastAsia"/>
          <w:color w:val="000000" w:themeColor="text1"/>
          <w:sz w:val="28"/>
          <w:szCs w:val="28"/>
          <w:lang w:val="en-US" w:eastAsia="zh-CN"/>
        </w:rPr>
        <w:t xml:space="preserve">             </w:t>
      </w:r>
      <w:r>
        <w:rPr>
          <w:rFonts w:hint="eastAsia" w:asciiTheme="minorEastAsia" w:hAnsiTheme="minorEastAsia"/>
          <w:color w:val="000000" w:themeColor="text1"/>
          <w:sz w:val="28"/>
          <w:szCs w:val="28"/>
        </w:rPr>
        <w:t xml:space="preserve"> 联系电话：        电子邮箱：          </w:t>
      </w:r>
    </w:p>
    <w:p>
      <w:pPr>
        <w:jc w:val="left"/>
        <w:rPr>
          <w:rFonts w:asciiTheme="minorEastAsia" w:hAnsiTheme="minorEastAsia"/>
          <w:color w:val="000000" w:themeColor="text1"/>
          <w:sz w:val="28"/>
          <w:szCs w:val="28"/>
        </w:rPr>
      </w:pPr>
      <w:r>
        <w:rPr>
          <w:rFonts w:hint="eastAsia" w:asciiTheme="minorEastAsia" w:hAnsiTheme="minorEastAsia"/>
          <w:color w:val="000000" w:themeColor="text1"/>
          <w:sz w:val="28"/>
          <w:szCs w:val="28"/>
        </w:rPr>
        <w:t xml:space="preserve">通讯地址：                                   邮政编码：         </w:t>
      </w:r>
    </w:p>
    <w:p>
      <w:pPr>
        <w:jc w:val="left"/>
        <w:rPr>
          <w:rFonts w:asciiTheme="minorEastAsia" w:hAnsiTheme="minorEastAsia"/>
          <w:color w:val="000000" w:themeColor="text1"/>
          <w:sz w:val="28"/>
          <w:szCs w:val="28"/>
        </w:rPr>
      </w:pPr>
    </w:p>
    <w:p>
      <w:pPr>
        <w:spacing w:line="276" w:lineRule="auto"/>
        <w:rPr>
          <w:rFonts w:hint="default" w:asciiTheme="minorEastAsia" w:hAnsiTheme="minorEastAsia"/>
          <w:sz w:val="28"/>
          <w:szCs w:val="28"/>
          <w:lang w:val="en-US"/>
        </w:rPr>
      </w:pPr>
      <w:r>
        <w:rPr>
          <w:rFonts w:hint="eastAsia" w:asciiTheme="minorEastAsia" w:hAnsiTheme="minorEastAsia"/>
          <w:sz w:val="28"/>
          <w:szCs w:val="28"/>
        </w:rPr>
        <w:t>通讯地址：</w:t>
      </w:r>
      <w:r>
        <w:rPr>
          <w:rFonts w:hint="eastAsia" w:asciiTheme="minorEastAsia" w:hAnsiTheme="minorEastAsia"/>
          <w:sz w:val="28"/>
          <w:szCs w:val="28"/>
          <w:lang w:val="en-US" w:eastAsia="zh-CN"/>
        </w:rPr>
        <w:t>浙江省湖州市南浔经济开发区年丰西路2688号-1</w:t>
      </w:r>
    </w:p>
    <w:p>
      <w:pPr>
        <w:spacing w:line="276" w:lineRule="auto"/>
        <w:rPr>
          <w:rFonts w:hint="eastAsia" w:asciiTheme="minorEastAsia" w:hAnsiTheme="minorEastAsia"/>
          <w:sz w:val="28"/>
          <w:szCs w:val="28"/>
          <w:lang w:val="en-US" w:eastAsia="zh-CN"/>
        </w:rPr>
      </w:pPr>
      <w:r>
        <w:rPr>
          <w:rFonts w:hint="eastAsia" w:asciiTheme="minorEastAsia" w:hAnsiTheme="minorEastAsia"/>
          <w:sz w:val="28"/>
          <w:szCs w:val="28"/>
        </w:rPr>
        <w:t>生产地址：</w:t>
      </w:r>
      <w:r>
        <w:rPr>
          <w:rFonts w:hint="eastAsia" w:asciiTheme="minorEastAsia" w:hAnsiTheme="minorEastAsia"/>
          <w:sz w:val="28"/>
          <w:szCs w:val="28"/>
          <w:lang w:val="en-US" w:eastAsia="zh-CN"/>
        </w:rPr>
        <w:t>浙江省湖州市南浔经济开发区年丰西路2688号-1</w:t>
      </w:r>
    </w:p>
    <w:p>
      <w:pPr>
        <w:spacing w:line="276" w:lineRule="auto"/>
        <w:rPr>
          <w:rFonts w:hint="default" w:asciiTheme="minorEastAsia" w:hAnsiTheme="minorEastAsia" w:eastAsiaTheme="minorEastAsia"/>
          <w:sz w:val="28"/>
          <w:szCs w:val="28"/>
          <w:lang w:val="en-US" w:eastAsia="zh-CN"/>
        </w:rPr>
      </w:pPr>
      <w:r>
        <w:rPr>
          <w:rFonts w:hint="eastAsia" w:asciiTheme="minorEastAsia" w:hAnsiTheme="minorEastAsia"/>
          <w:sz w:val="28"/>
          <w:szCs w:val="28"/>
        </w:rPr>
        <w:t>邮编：313</w:t>
      </w:r>
      <w:r>
        <w:rPr>
          <w:rFonts w:hint="eastAsia" w:asciiTheme="minorEastAsia" w:hAnsiTheme="minorEastAsia"/>
          <w:sz w:val="28"/>
          <w:szCs w:val="28"/>
          <w:lang w:val="en-US" w:eastAsia="zh-CN"/>
        </w:rPr>
        <w:t>009</w:t>
      </w:r>
    </w:p>
    <w:p>
      <w:pPr>
        <w:spacing w:line="276" w:lineRule="auto"/>
        <w:rPr>
          <w:rFonts w:asciiTheme="minorEastAsia" w:hAnsiTheme="minorEastAsia"/>
          <w:sz w:val="28"/>
          <w:szCs w:val="28"/>
        </w:rPr>
      </w:pPr>
      <w:r>
        <w:rPr>
          <w:rFonts w:hint="eastAsia" w:asciiTheme="minorEastAsia" w:hAnsiTheme="minorEastAsia"/>
          <w:sz w:val="28"/>
          <w:szCs w:val="28"/>
        </w:rPr>
        <w:t xml:space="preserve">电话： </w:t>
      </w:r>
      <w:r>
        <w:rPr>
          <w:rFonts w:hint="eastAsia" w:asciiTheme="minorEastAsia" w:hAnsiTheme="minorEastAsia"/>
          <w:sz w:val="28"/>
          <w:szCs w:val="28"/>
          <w:lang w:val="en-US" w:eastAsia="zh-CN"/>
        </w:rPr>
        <w:t>0572-2901611</w:t>
      </w:r>
      <w:r>
        <w:rPr>
          <w:rFonts w:hint="eastAsia" w:asciiTheme="minorEastAsia" w:hAnsiTheme="minorEastAsia"/>
          <w:sz w:val="28"/>
          <w:szCs w:val="28"/>
        </w:rPr>
        <w:t xml:space="preserve"> </w:t>
      </w:r>
    </w:p>
    <w:p>
      <w:pPr>
        <w:spacing w:line="276" w:lineRule="auto"/>
        <w:rPr>
          <w:rFonts w:asciiTheme="minorEastAsia" w:hAnsiTheme="minorEastAsia"/>
          <w:sz w:val="28"/>
          <w:szCs w:val="28"/>
        </w:rPr>
      </w:pPr>
      <w:r>
        <w:rPr>
          <w:rFonts w:hint="eastAsia" w:asciiTheme="minorEastAsia" w:hAnsiTheme="minorEastAsia"/>
          <w:sz w:val="28"/>
          <w:szCs w:val="28"/>
        </w:rPr>
        <w:t>传真：</w:t>
      </w:r>
      <w:r>
        <w:rPr>
          <w:rFonts w:hint="eastAsia" w:asciiTheme="minorEastAsia" w:hAnsiTheme="minorEastAsia"/>
          <w:sz w:val="28"/>
          <w:szCs w:val="28"/>
          <w:lang w:val="en-US" w:eastAsia="zh-CN"/>
        </w:rPr>
        <w:t xml:space="preserve"> 0572-2901611  </w:t>
      </w:r>
      <w:r>
        <w:rPr>
          <w:rFonts w:hint="eastAsia" w:asciiTheme="minorEastAsia" w:hAnsiTheme="minorEastAsia"/>
          <w:sz w:val="28"/>
          <w:szCs w:val="28"/>
        </w:rPr>
        <w:t xml:space="preserve"> </w:t>
      </w:r>
    </w:p>
    <w:p>
      <w:pPr>
        <w:spacing w:line="360" w:lineRule="exact"/>
        <w:rPr>
          <w:rFonts w:asciiTheme="minorEastAsia" w:hAnsiTheme="minorEastAsia"/>
          <w:color w:val="0070C0"/>
          <w:sz w:val="28"/>
          <w:szCs w:val="28"/>
        </w:rPr>
      </w:pPr>
      <w:r>
        <w:rPr>
          <w:rFonts w:hint="eastAsia" w:asciiTheme="minorEastAsia" w:hAnsiTheme="minorEastAsia"/>
          <w:color w:val="0070C0"/>
          <w:sz w:val="28"/>
          <w:szCs w:val="28"/>
        </w:rPr>
        <w:t>网    址：http://www.hzlhdb.com/</w:t>
      </w:r>
    </w:p>
    <w:p>
      <w:pPr>
        <w:spacing w:line="360" w:lineRule="exact"/>
        <w:rPr>
          <w:rFonts w:hint="default" w:asciiTheme="minorEastAsia" w:hAnsiTheme="minorEastAsia" w:eastAsiaTheme="minorEastAsia"/>
          <w:color w:val="0070C0"/>
          <w:sz w:val="28"/>
          <w:szCs w:val="28"/>
          <w:lang w:val="en-US" w:eastAsia="zh-CN"/>
        </w:rPr>
      </w:pPr>
      <w:r>
        <w:rPr>
          <w:rFonts w:hint="eastAsia" w:asciiTheme="minorEastAsia" w:hAnsiTheme="minorEastAsia"/>
          <w:color w:val="0070C0"/>
          <w:sz w:val="28"/>
          <w:szCs w:val="28"/>
        </w:rPr>
        <w:t>邮    箱：</w:t>
      </w:r>
      <w:r>
        <w:rPr>
          <w:rFonts w:hint="eastAsia" w:asciiTheme="minorEastAsia" w:hAnsiTheme="minorEastAsia"/>
          <w:color w:val="0070C0"/>
          <w:sz w:val="28"/>
          <w:szCs w:val="28"/>
          <w:lang w:val="en-US" w:eastAsia="zh-CN"/>
        </w:rPr>
        <w:t>495649827@qq.com</w:t>
      </w:r>
    </w:p>
    <w:p>
      <w:pPr>
        <w:jc w:val="left"/>
        <w:rPr>
          <w:rFonts w:asciiTheme="minorEastAsia" w:hAnsiTheme="minorEastAsia"/>
          <w:color w:val="000000" w:themeColor="text1"/>
          <w:sz w:val="28"/>
          <w:szCs w:val="28"/>
        </w:rPr>
      </w:pPr>
    </w:p>
    <w:sectPr>
      <w:headerReference r:id="rId5" w:type="default"/>
      <w:footerReference r:id="rId6" w:type="default"/>
      <w:pgSz w:w="11906" w:h="16838"/>
      <w:pgMar w:top="1440" w:right="849" w:bottom="1440" w:left="1276"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45452"/>
      <w:docPartObj>
        <w:docPartGallery w:val="autotext"/>
      </w:docPartObj>
    </w:sdtPr>
    <w:sdtContent>
      <w:p>
        <w:pPr>
          <w:pStyle w:val="7"/>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7"/>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840" w:firstLineChars="300"/>
      <w:jc w:val="left"/>
      <w:rPr>
        <w:rFonts w:hint="default" w:eastAsiaTheme="minorEastAsia"/>
        <w:sz w:val="28"/>
        <w:szCs w:val="28"/>
        <w:lang w:val="en-US" w:eastAsia="zh-CN"/>
      </w:rPr>
    </w:pPr>
    <w:r>
      <w:rPr>
        <w:rFonts w:hint="eastAsia"/>
        <w:sz w:val="28"/>
        <w:szCs w:val="28"/>
      </w:rPr>
      <w:t xml:space="preserve">             </w:t>
    </w:r>
    <w:r>
      <w:rPr>
        <w:rFonts w:hint="eastAsia"/>
        <w:sz w:val="28"/>
        <w:szCs w:val="28"/>
        <w:lang w:val="en-US" w:eastAsia="zh-CN"/>
      </w:rPr>
      <w:t xml:space="preserve">  浙江德联家居股份有限公司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rPr>
        <w:rFonts w:hint="eastAsia" w:eastAsiaTheme="minorEastAsia"/>
        <w:sz w:val="28"/>
        <w:szCs w:val="28"/>
        <w:lang w:eastAsia="zh-CN"/>
      </w:rPr>
    </w:pPr>
    <w:r>
      <w:rPr>
        <w:rFonts w:hint="eastAsia"/>
        <w:sz w:val="28"/>
        <w:szCs w:val="28"/>
      </w:rPr>
      <w:t xml:space="preserve">          </w:t>
    </w:r>
    <w:r>
      <w:rPr>
        <w:rFonts w:hint="eastAsia"/>
        <w:sz w:val="28"/>
        <w:szCs w:val="28"/>
        <w:lang w:val="en-US" w:eastAsia="zh-CN"/>
      </w:rPr>
      <w:t xml:space="preserve">        </w:t>
    </w:r>
    <w:r>
      <w:rPr>
        <w:rFonts w:hint="eastAsia"/>
        <w:sz w:val="28"/>
        <w:szCs w:val="28"/>
      </w:rPr>
      <w:t xml:space="preserve"> </w:t>
    </w:r>
    <w:r>
      <w:rPr>
        <w:rFonts w:hint="eastAsia"/>
        <w:sz w:val="28"/>
        <w:szCs w:val="28"/>
        <w:lang w:eastAsia="zh-CN"/>
      </w:rPr>
      <w:t>浙江德联家居股份有限公司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81B80"/>
    <w:multiLevelType w:val="singleLevel"/>
    <w:tmpl w:val="98181B8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7D542A"/>
    <w:rsid w:val="000033C6"/>
    <w:rsid w:val="00030430"/>
    <w:rsid w:val="00050879"/>
    <w:rsid w:val="000A58C1"/>
    <w:rsid w:val="000C4657"/>
    <w:rsid w:val="000C736C"/>
    <w:rsid w:val="000D5A66"/>
    <w:rsid w:val="001136DD"/>
    <w:rsid w:val="001C29B7"/>
    <w:rsid w:val="001C7CFA"/>
    <w:rsid w:val="002169EF"/>
    <w:rsid w:val="002351FF"/>
    <w:rsid w:val="00240E7D"/>
    <w:rsid w:val="00265502"/>
    <w:rsid w:val="002D22EA"/>
    <w:rsid w:val="002D2F9E"/>
    <w:rsid w:val="002E1F0F"/>
    <w:rsid w:val="002F7DF0"/>
    <w:rsid w:val="00317318"/>
    <w:rsid w:val="00325C3C"/>
    <w:rsid w:val="00350DA5"/>
    <w:rsid w:val="003629DB"/>
    <w:rsid w:val="0037568F"/>
    <w:rsid w:val="00384AA6"/>
    <w:rsid w:val="003859F7"/>
    <w:rsid w:val="003C21EE"/>
    <w:rsid w:val="003F4D43"/>
    <w:rsid w:val="00400C73"/>
    <w:rsid w:val="004221A5"/>
    <w:rsid w:val="004502F8"/>
    <w:rsid w:val="00462062"/>
    <w:rsid w:val="0046304C"/>
    <w:rsid w:val="00492698"/>
    <w:rsid w:val="004B711F"/>
    <w:rsid w:val="004C21CB"/>
    <w:rsid w:val="004E005A"/>
    <w:rsid w:val="00505CB4"/>
    <w:rsid w:val="005217CE"/>
    <w:rsid w:val="00526FEA"/>
    <w:rsid w:val="00567339"/>
    <w:rsid w:val="00581FFA"/>
    <w:rsid w:val="005B6665"/>
    <w:rsid w:val="005C2C08"/>
    <w:rsid w:val="005D0626"/>
    <w:rsid w:val="005F3346"/>
    <w:rsid w:val="0061325E"/>
    <w:rsid w:val="006242C6"/>
    <w:rsid w:val="00644DC9"/>
    <w:rsid w:val="00646308"/>
    <w:rsid w:val="00664B04"/>
    <w:rsid w:val="00675BA0"/>
    <w:rsid w:val="00697B8E"/>
    <w:rsid w:val="006B35C5"/>
    <w:rsid w:val="006C0D83"/>
    <w:rsid w:val="006C5753"/>
    <w:rsid w:val="006D701B"/>
    <w:rsid w:val="00704EBC"/>
    <w:rsid w:val="007465B6"/>
    <w:rsid w:val="00755102"/>
    <w:rsid w:val="0076227F"/>
    <w:rsid w:val="007A1BD0"/>
    <w:rsid w:val="007A38F1"/>
    <w:rsid w:val="007D542A"/>
    <w:rsid w:val="007F08D4"/>
    <w:rsid w:val="008012A3"/>
    <w:rsid w:val="00856098"/>
    <w:rsid w:val="0087519D"/>
    <w:rsid w:val="00891AE9"/>
    <w:rsid w:val="008A0012"/>
    <w:rsid w:val="008E08B4"/>
    <w:rsid w:val="008E419B"/>
    <w:rsid w:val="00900350"/>
    <w:rsid w:val="009076FA"/>
    <w:rsid w:val="00966FD0"/>
    <w:rsid w:val="009726D7"/>
    <w:rsid w:val="009A2B01"/>
    <w:rsid w:val="009B1AE7"/>
    <w:rsid w:val="009F3601"/>
    <w:rsid w:val="009F4558"/>
    <w:rsid w:val="00A34BDB"/>
    <w:rsid w:val="00A3731D"/>
    <w:rsid w:val="00A924A8"/>
    <w:rsid w:val="00AB4BB7"/>
    <w:rsid w:val="00AC59C5"/>
    <w:rsid w:val="00AF3ADC"/>
    <w:rsid w:val="00AF5807"/>
    <w:rsid w:val="00B23A7B"/>
    <w:rsid w:val="00B36434"/>
    <w:rsid w:val="00B444CF"/>
    <w:rsid w:val="00B52458"/>
    <w:rsid w:val="00B579C2"/>
    <w:rsid w:val="00B73902"/>
    <w:rsid w:val="00B77E70"/>
    <w:rsid w:val="00BE4C05"/>
    <w:rsid w:val="00BE55F4"/>
    <w:rsid w:val="00BF595B"/>
    <w:rsid w:val="00C07DBC"/>
    <w:rsid w:val="00C1357F"/>
    <w:rsid w:val="00C724AC"/>
    <w:rsid w:val="00C77CB1"/>
    <w:rsid w:val="00C835E5"/>
    <w:rsid w:val="00CB782E"/>
    <w:rsid w:val="00CD7ED5"/>
    <w:rsid w:val="00CE580D"/>
    <w:rsid w:val="00CF4BA5"/>
    <w:rsid w:val="00D00B33"/>
    <w:rsid w:val="00D10169"/>
    <w:rsid w:val="00D16F77"/>
    <w:rsid w:val="00D22CAD"/>
    <w:rsid w:val="00D30CCB"/>
    <w:rsid w:val="00D5125D"/>
    <w:rsid w:val="00D86BDF"/>
    <w:rsid w:val="00DA54BC"/>
    <w:rsid w:val="00DC6DA8"/>
    <w:rsid w:val="00DD7891"/>
    <w:rsid w:val="00DE52FB"/>
    <w:rsid w:val="00DF1382"/>
    <w:rsid w:val="00DF2EAE"/>
    <w:rsid w:val="00E04FEB"/>
    <w:rsid w:val="00E110A6"/>
    <w:rsid w:val="00E43083"/>
    <w:rsid w:val="00E50A00"/>
    <w:rsid w:val="00EB6172"/>
    <w:rsid w:val="00EE18DA"/>
    <w:rsid w:val="00EF0FA7"/>
    <w:rsid w:val="00EF50EB"/>
    <w:rsid w:val="00F1041F"/>
    <w:rsid w:val="00F713B8"/>
    <w:rsid w:val="00F9395A"/>
    <w:rsid w:val="00FB4423"/>
    <w:rsid w:val="00FC6546"/>
    <w:rsid w:val="00FE261B"/>
    <w:rsid w:val="00FE4306"/>
    <w:rsid w:val="00FE473E"/>
    <w:rsid w:val="022D1F29"/>
    <w:rsid w:val="084C73E8"/>
    <w:rsid w:val="08AE4B1B"/>
    <w:rsid w:val="0ABC47E6"/>
    <w:rsid w:val="0C490034"/>
    <w:rsid w:val="0DCD01AD"/>
    <w:rsid w:val="0EDC7593"/>
    <w:rsid w:val="11044563"/>
    <w:rsid w:val="115C57DF"/>
    <w:rsid w:val="12201642"/>
    <w:rsid w:val="129B086E"/>
    <w:rsid w:val="17573926"/>
    <w:rsid w:val="17674FCE"/>
    <w:rsid w:val="17C26339"/>
    <w:rsid w:val="198E713B"/>
    <w:rsid w:val="19C4309E"/>
    <w:rsid w:val="1C891389"/>
    <w:rsid w:val="1F481EBE"/>
    <w:rsid w:val="20991A01"/>
    <w:rsid w:val="214E0CEE"/>
    <w:rsid w:val="217C1F95"/>
    <w:rsid w:val="218E4B38"/>
    <w:rsid w:val="22D65BC0"/>
    <w:rsid w:val="23CB60A4"/>
    <w:rsid w:val="24DC1073"/>
    <w:rsid w:val="27570CBB"/>
    <w:rsid w:val="28EF3682"/>
    <w:rsid w:val="2BA06192"/>
    <w:rsid w:val="2D8040F5"/>
    <w:rsid w:val="304819A5"/>
    <w:rsid w:val="305D6D98"/>
    <w:rsid w:val="30E737A2"/>
    <w:rsid w:val="317D5D23"/>
    <w:rsid w:val="34E46FA5"/>
    <w:rsid w:val="35EB2E78"/>
    <w:rsid w:val="363D2017"/>
    <w:rsid w:val="37480E0F"/>
    <w:rsid w:val="378C7468"/>
    <w:rsid w:val="38AF0C28"/>
    <w:rsid w:val="38BA26A8"/>
    <w:rsid w:val="3B9C6363"/>
    <w:rsid w:val="3CE10904"/>
    <w:rsid w:val="3CE57578"/>
    <w:rsid w:val="3D327B68"/>
    <w:rsid w:val="414E5681"/>
    <w:rsid w:val="42163D91"/>
    <w:rsid w:val="42C2539D"/>
    <w:rsid w:val="435D053E"/>
    <w:rsid w:val="46514005"/>
    <w:rsid w:val="479E3227"/>
    <w:rsid w:val="4B885C70"/>
    <w:rsid w:val="50D84AA7"/>
    <w:rsid w:val="52991034"/>
    <w:rsid w:val="55D87050"/>
    <w:rsid w:val="57BC62AC"/>
    <w:rsid w:val="59354AFA"/>
    <w:rsid w:val="5B1D4314"/>
    <w:rsid w:val="60EA64BF"/>
    <w:rsid w:val="61180AF0"/>
    <w:rsid w:val="61B50C39"/>
    <w:rsid w:val="634471EE"/>
    <w:rsid w:val="644B45AF"/>
    <w:rsid w:val="6CD31B41"/>
    <w:rsid w:val="6E006DDC"/>
    <w:rsid w:val="7A047FCC"/>
    <w:rsid w:val="7AFF2437"/>
    <w:rsid w:val="7F3D6F3F"/>
    <w:rsid w:val="7FB249B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5"/>
    <w:semiHidden/>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pPr>
      <w:spacing w:line="312" w:lineRule="auto"/>
    </w:pPr>
    <w:rPr>
      <w:rFonts w:ascii="Arial" w:hAnsi="Arial" w:eastAsia="楷体_GB2312"/>
      <w:spacing w:val="20"/>
      <w:sz w:val="24"/>
      <w:szCs w:val="20"/>
    </w:rPr>
  </w:style>
  <w:style w:type="paragraph" w:styleId="6">
    <w:name w:val="Balloon Text"/>
    <w:basedOn w:val="1"/>
    <w:link w:val="23"/>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3">
    <w:name w:val="Strong"/>
    <w:basedOn w:val="12"/>
    <w:qFormat/>
    <w:uiPriority w:val="22"/>
    <w:rPr>
      <w:b/>
    </w:rPr>
  </w:style>
  <w:style w:type="character" w:styleId="14">
    <w:name w:val="Emphasis"/>
    <w:basedOn w:val="12"/>
    <w:qFormat/>
    <w:uiPriority w:val="20"/>
    <w:rPr>
      <w:i/>
      <w:iCs/>
    </w:rPr>
  </w:style>
  <w:style w:type="character" w:styleId="15">
    <w:name w:val="Hyperlink"/>
    <w:basedOn w:val="12"/>
    <w:unhideWhenUsed/>
    <w:qFormat/>
    <w:uiPriority w:val="99"/>
    <w:rPr>
      <w:color w:val="0563C1" w:themeColor="hyperlink"/>
      <w:u w:val="single"/>
    </w:rPr>
  </w:style>
  <w:style w:type="character" w:customStyle="1" w:styleId="16">
    <w:name w:val="apple-converted-space"/>
    <w:basedOn w:val="12"/>
    <w:qFormat/>
    <w:uiPriority w:val="0"/>
  </w:style>
  <w:style w:type="character" w:customStyle="1" w:styleId="17">
    <w:name w:val="页眉 Char"/>
    <w:basedOn w:val="12"/>
    <w:link w:val="8"/>
    <w:qFormat/>
    <w:uiPriority w:val="99"/>
    <w:rPr>
      <w:sz w:val="18"/>
      <w:szCs w:val="18"/>
    </w:rPr>
  </w:style>
  <w:style w:type="character" w:customStyle="1" w:styleId="18">
    <w:name w:val="页脚 Char"/>
    <w:basedOn w:val="12"/>
    <w:link w:val="7"/>
    <w:qFormat/>
    <w:uiPriority w:val="99"/>
    <w:rPr>
      <w:sz w:val="18"/>
      <w:szCs w:val="18"/>
    </w:rPr>
  </w:style>
  <w:style w:type="paragraph" w:styleId="19">
    <w:name w:val="List Paragraph"/>
    <w:basedOn w:val="1"/>
    <w:qFormat/>
    <w:uiPriority w:val="34"/>
    <w:pPr>
      <w:ind w:firstLine="420" w:firstLineChars="200"/>
    </w:pPr>
  </w:style>
  <w:style w:type="character" w:customStyle="1" w:styleId="20">
    <w:name w:val="标题 2 Char"/>
    <w:basedOn w:val="12"/>
    <w:link w:val="3"/>
    <w:qFormat/>
    <w:uiPriority w:val="9"/>
    <w:rPr>
      <w:rFonts w:asciiTheme="majorHAnsi" w:hAnsiTheme="majorHAnsi" w:eastAsiaTheme="majorEastAsia" w:cstheme="majorBidi"/>
      <w:b/>
      <w:bCs/>
      <w:sz w:val="32"/>
      <w:szCs w:val="32"/>
    </w:rPr>
  </w:style>
  <w:style w:type="character" w:customStyle="1" w:styleId="21">
    <w:name w:val="标题 1 Char"/>
    <w:basedOn w:val="12"/>
    <w:link w:val="2"/>
    <w:qFormat/>
    <w:uiPriority w:val="9"/>
    <w:rPr>
      <w:b/>
      <w:bCs/>
      <w:kern w:val="44"/>
      <w:sz w:val="44"/>
      <w:szCs w:val="44"/>
    </w:rPr>
  </w:style>
  <w:style w:type="paragraph" w:customStyle="1" w:styleId="22">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5" w:themeColor="accent1" w:themeShade="BF"/>
      <w:kern w:val="0"/>
      <w:sz w:val="32"/>
      <w:szCs w:val="32"/>
    </w:rPr>
  </w:style>
  <w:style w:type="character" w:customStyle="1" w:styleId="23">
    <w:name w:val="批注框文本 Char"/>
    <w:basedOn w:val="12"/>
    <w:link w:val="6"/>
    <w:semiHidden/>
    <w:qFormat/>
    <w:uiPriority w:val="99"/>
    <w:rPr>
      <w:sz w:val="18"/>
      <w:szCs w:val="18"/>
    </w:rPr>
  </w:style>
  <w:style w:type="paragraph" w:customStyle="1" w:styleId="24">
    <w:name w:val="yz节"/>
    <w:next w:val="1"/>
    <w:qFormat/>
    <w:uiPriority w:val="0"/>
    <w:pPr>
      <w:widowControl w:val="0"/>
      <w:spacing w:before="120" w:after="120"/>
    </w:pPr>
    <w:rPr>
      <w:rFonts w:ascii="宋体" w:hAnsi="Times New Roman" w:eastAsia="宋体" w:cs="Times New Roman"/>
      <w:b/>
      <w:sz w:val="21"/>
      <w:szCs w:val="22"/>
      <w:lang w:val="en-US" w:eastAsia="zh-CN" w:bidi="ar-SA"/>
    </w:rPr>
  </w:style>
  <w:style w:type="character" w:customStyle="1" w:styleId="25">
    <w:name w:val="标题 3 Char"/>
    <w:link w:val="4"/>
    <w:qFormat/>
    <w:uiPriority w:val="0"/>
    <w:rPr>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C1E7E4-6F90-41A8-9FDF-594F91331339}">
  <ds:schemaRefs/>
</ds:datastoreItem>
</file>

<file path=docProps/app.xml><?xml version="1.0" encoding="utf-8"?>
<Properties xmlns="http://schemas.openxmlformats.org/officeDocument/2006/extended-properties" xmlns:vt="http://schemas.openxmlformats.org/officeDocument/2006/docPropsVTypes">
  <Template>Normal.dotm</Template>
  <Pages>19</Pages>
  <Words>1302</Words>
  <Characters>7423</Characters>
  <Lines>61</Lines>
  <Paragraphs>17</Paragraphs>
  <TotalTime>24</TotalTime>
  <ScaleCrop>false</ScaleCrop>
  <LinksUpToDate>false</LinksUpToDate>
  <CharactersWithSpaces>8708</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2016-04-05T07:22:00Z</dcterms:created>
  <dc:creator>倪兴南</dc:creator>
  <cp:lastModifiedBy>磊鼎咨询4部</cp:lastModifiedBy>
  <cp:lastPrinted>2017-11-15T01:10:00Z</cp:lastPrinted>
  <dcterms:modified xsi:type="dcterms:W3CDTF">2021-10-18T02:16:20Z</dcterms:modified>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A7A610A3FC6F457BA9D9C88EC8564810</vt:lpwstr>
  </property>
</Properties>
</file>